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hint="default"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rPr>
        <w:t>长春市</w:t>
      </w:r>
      <w:r>
        <w:rPr>
          <w:rFonts w:hint="eastAsia" w:ascii="Arial" w:hAnsi="Arial" w:eastAsia="方正小标宋简体" w:cs="方正小标宋简体"/>
          <w:sz w:val="44"/>
          <w:szCs w:val="44"/>
          <w:highlight w:val="none"/>
          <w:lang w:val="en-US" w:eastAsia="zh-CN"/>
        </w:rPr>
        <w:t>军队离休退休干部花园路休养所</w:t>
      </w:r>
    </w:p>
    <w:p>
      <w:pPr>
        <w:spacing w:line="360" w:lineRule="auto"/>
        <w:jc w:val="center"/>
        <w:rPr>
          <w:rFonts w:hint="eastAsia" w:ascii="Arial" w:hAnsi="Arial" w:eastAsia="方正小标宋简体" w:cs="方正小标宋简体"/>
          <w:sz w:val="44"/>
          <w:szCs w:val="44"/>
          <w:highlight w:val="none"/>
        </w:rPr>
      </w:pPr>
      <w:r>
        <w:rPr>
          <w:rFonts w:hint="eastAsia" w:ascii="Arial" w:hAnsi="Arial" w:eastAsia="方正小标宋简体" w:cs="方正小标宋简体"/>
          <w:sz w:val="44"/>
          <w:szCs w:val="44"/>
          <w:highlight w:val="none"/>
        </w:rPr>
        <w:t>202</w:t>
      </w:r>
      <w:r>
        <w:rPr>
          <w:rFonts w:hint="eastAsia" w:ascii="Arial" w:hAnsi="Arial" w:eastAsia="方正小标宋简体" w:cs="方正小标宋简体"/>
          <w:sz w:val="44"/>
          <w:szCs w:val="44"/>
          <w:highlight w:val="none"/>
          <w:lang w:val="en-US" w:eastAsia="zh-CN"/>
        </w:rPr>
        <w:t>3</w:t>
      </w:r>
      <w:r>
        <w:rPr>
          <w:rFonts w:hint="eastAsia" w:ascii="Arial" w:hAnsi="Arial" w:eastAsia="方正小标宋简体" w:cs="方正小标宋简体"/>
          <w:sz w:val="44"/>
          <w:szCs w:val="44"/>
          <w:highlight w:val="none"/>
        </w:rPr>
        <w:t>年度部门预算</w:t>
      </w: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hint="eastAsia"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r>
        <w:rPr>
          <w:rFonts w:hint="eastAsia" w:ascii="Arial" w:hAnsi="Arial" w:eastAsia="方正小标宋简体" w:cs="Times New Roman"/>
          <w:sz w:val="44"/>
          <w:szCs w:val="44"/>
          <w:highlight w:val="none"/>
        </w:rPr>
        <w:t>202</w:t>
      </w:r>
      <w:r>
        <w:rPr>
          <w:rFonts w:hint="eastAsia" w:ascii="Arial" w:hAnsi="Arial" w:eastAsia="方正小标宋简体" w:cs="Times New Roman"/>
          <w:sz w:val="44"/>
          <w:szCs w:val="44"/>
          <w:highlight w:val="none"/>
          <w:lang w:val="en-US" w:eastAsia="zh-CN"/>
        </w:rPr>
        <w:t>3</w:t>
      </w:r>
      <w:r>
        <w:rPr>
          <w:rFonts w:hint="eastAsia" w:ascii="Arial" w:hAnsi="Arial" w:eastAsia="方正小标宋简体" w:cs="Times New Roman"/>
          <w:sz w:val="44"/>
          <w:szCs w:val="44"/>
          <w:highlight w:val="none"/>
        </w:rPr>
        <w:t>年</w:t>
      </w:r>
      <w:r>
        <w:rPr>
          <w:rFonts w:hint="eastAsia" w:ascii="Arial" w:hAnsi="Arial" w:eastAsia="方正小标宋简体" w:cs="Times New Roman"/>
          <w:sz w:val="44"/>
          <w:szCs w:val="44"/>
          <w:highlight w:val="none"/>
          <w:lang w:val="en-US" w:eastAsia="zh-CN"/>
        </w:rPr>
        <w:t>2</w:t>
      </w:r>
      <w:r>
        <w:rPr>
          <w:rFonts w:hint="eastAsia" w:ascii="Arial" w:hAnsi="Arial" w:eastAsia="方正小标宋简体" w:cs="Times New Roman"/>
          <w:sz w:val="44"/>
          <w:szCs w:val="44"/>
          <w:highlight w:val="none"/>
        </w:rPr>
        <w:t>月</w:t>
      </w:r>
      <w:r>
        <w:rPr>
          <w:rFonts w:hint="eastAsia" w:ascii="Arial" w:hAnsi="Arial" w:eastAsia="方正小标宋简体" w:cs="Times New Roman"/>
          <w:sz w:val="44"/>
          <w:szCs w:val="44"/>
          <w:highlight w:val="none"/>
          <w:lang w:val="en-US" w:eastAsia="zh-CN"/>
        </w:rPr>
        <w:t>18</w:t>
      </w:r>
      <w:r>
        <w:rPr>
          <w:rFonts w:hint="eastAsia" w:ascii="Arial" w:hAnsi="Arial" w:eastAsia="方正小标宋简体" w:cs="Times New Roman"/>
          <w:sz w:val="44"/>
          <w:szCs w:val="44"/>
          <w:highlight w:val="none"/>
        </w:rPr>
        <w:t>日</w:t>
      </w:r>
    </w:p>
    <w:p>
      <w:pPr>
        <w:spacing w:line="360" w:lineRule="auto"/>
        <w:jc w:val="center"/>
        <w:rPr>
          <w:rFonts w:ascii="Arial" w:hAnsi="Arial" w:eastAsia="方正小标宋简体" w:cs="Times New Roman"/>
          <w:sz w:val="44"/>
          <w:szCs w:val="44"/>
          <w:highlight w:val="none"/>
        </w:rPr>
      </w:pPr>
    </w:p>
    <w:p>
      <w:pPr>
        <w:spacing w:line="360" w:lineRule="auto"/>
        <w:jc w:val="center"/>
        <w:outlineLvl w:val="1"/>
        <w:rPr>
          <w:rFonts w:ascii="方正小标宋简体" w:hAnsi="方正小标宋简体" w:eastAsia="方正小标宋简体" w:cs="Times New Roman"/>
          <w:sz w:val="44"/>
          <w:szCs w:val="44"/>
          <w:highlight w:val="none"/>
        </w:rPr>
      </w:pPr>
      <w:r>
        <w:rPr>
          <w:rFonts w:ascii="方正小标宋简体" w:hAnsi="方正小标宋简体" w:eastAsia="方正小标宋简体" w:cs="Times New Roman"/>
          <w:sz w:val="44"/>
          <w:szCs w:val="44"/>
          <w:highlight w:val="none"/>
        </w:rPr>
        <w:br w:type="page"/>
      </w:r>
      <w:r>
        <w:rPr>
          <w:rFonts w:hint="eastAsia" w:ascii="方正小标宋简体" w:hAnsi="方正小标宋简体" w:eastAsia="方正小标宋简体" w:cs="方正小标宋简体"/>
          <w:sz w:val="44"/>
          <w:szCs w:val="44"/>
          <w:highlight w:val="none"/>
        </w:rPr>
        <w:t>目 录</w:t>
      </w:r>
    </w:p>
    <w:p>
      <w:pPr>
        <w:spacing w:line="360" w:lineRule="auto"/>
        <w:rPr>
          <w:rFonts w:hint="eastAsia" w:ascii="黑体" w:hAnsi="黑体" w:eastAsia="黑体" w:cs="Times New Roman"/>
          <w:sz w:val="32"/>
          <w:szCs w:val="32"/>
          <w:highlight w:val="none"/>
        </w:rPr>
      </w:pP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第一部分 部门概况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一、主要职能</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二、机构设置</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三、部门预算基本情况</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第二部分 202</w:t>
      </w:r>
      <w:r>
        <w:rPr>
          <w:rFonts w:hint="eastAsia" w:ascii="黑体" w:hAnsi="黑体" w:eastAsia="黑体" w:cs="Times New Roman"/>
          <w:sz w:val="32"/>
          <w:szCs w:val="32"/>
          <w:highlight w:val="none"/>
          <w:lang w:val="en-US" w:eastAsia="zh-CN"/>
        </w:rPr>
        <w:t>3</w:t>
      </w:r>
      <w:r>
        <w:rPr>
          <w:rFonts w:hint="eastAsia" w:ascii="黑体" w:hAnsi="黑体" w:eastAsia="黑体" w:cs="Times New Roman"/>
          <w:sz w:val="32"/>
          <w:szCs w:val="32"/>
          <w:highlight w:val="none"/>
        </w:rPr>
        <w:t>年度部门预算表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二、收入总表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三、支出总表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四、财政拨款收支总表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一般公共预算基本支出表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七、</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一般公共预算“三公”经费支出表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八、</w:t>
      </w:r>
      <w:r>
        <w:rPr>
          <w:rFonts w:hint="eastAsia" w:ascii="仿宋_GB2312" w:hAnsi="仿宋" w:eastAsia="仿宋_GB2312" w:cs="仿宋_GB2312"/>
          <w:sz w:val="32"/>
          <w:szCs w:val="32"/>
          <w:highlight w:val="none"/>
          <w:lang w:eastAsia="zh-CN"/>
        </w:rPr>
        <w:t>本年</w:t>
      </w:r>
      <w:r>
        <w:rPr>
          <w:rFonts w:hint="eastAsia" w:ascii="仿宋_GB2312" w:hAnsi="仿宋" w:eastAsia="仿宋_GB2312" w:cs="仿宋_GB2312"/>
          <w:sz w:val="32"/>
          <w:szCs w:val="32"/>
          <w:highlight w:val="none"/>
        </w:rPr>
        <w:t>政府性基金预算支出表</w:t>
      </w:r>
    </w:p>
    <w:p>
      <w:pPr>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九、国有资本经营预算支出表</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十、项目支出表</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第三部分 20</w:t>
      </w:r>
      <w:r>
        <w:rPr>
          <w:rFonts w:hint="eastAsia" w:ascii="黑体" w:hAnsi="黑体" w:eastAsia="黑体" w:cs="Times New Roman"/>
          <w:sz w:val="32"/>
          <w:szCs w:val="32"/>
          <w:highlight w:val="none"/>
          <w:lang w:val="en-US" w:eastAsia="zh-CN"/>
        </w:rPr>
        <w:t>23</w:t>
      </w:r>
      <w:r>
        <w:rPr>
          <w:rFonts w:hint="eastAsia" w:ascii="黑体" w:hAnsi="黑体" w:eastAsia="黑体" w:cs="Times New Roman"/>
          <w:sz w:val="32"/>
          <w:szCs w:val="32"/>
          <w:highlight w:val="none"/>
        </w:rPr>
        <w:t>年度部门预算表情况说明</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一、202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年收支</w:t>
      </w:r>
      <w:r>
        <w:rPr>
          <w:rFonts w:hint="eastAsia" w:ascii="仿宋_GB2312" w:hAnsi="仿宋" w:eastAsia="仿宋_GB2312" w:cs="仿宋_GB2312"/>
          <w:sz w:val="32"/>
          <w:szCs w:val="32"/>
          <w:highlight w:val="none"/>
          <w:lang w:val="en-US" w:eastAsia="zh-CN"/>
        </w:rPr>
        <w:t>预算总体情况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年收入</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三、202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年财政拨款收支</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年一般公共预算基本支出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七、202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年一般公共预算“三公”经费</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八、202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年政府性基金预算支出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九、202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eastAsia="zh-CN"/>
        </w:rPr>
        <w:t>国有资本经营预</w:t>
      </w:r>
      <w:r>
        <w:rPr>
          <w:rFonts w:hint="eastAsia" w:ascii="仿宋_GB2312" w:hAnsi="仿宋" w:eastAsia="仿宋_GB2312" w:cs="仿宋_GB2312"/>
          <w:sz w:val="32"/>
          <w:szCs w:val="32"/>
          <w:highlight w:val="none"/>
        </w:rPr>
        <w:t>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w:t>
      </w:r>
      <w:r>
        <w:rPr>
          <w:rFonts w:hint="eastAsia" w:ascii="仿宋_GB2312" w:hAnsi="仿宋" w:eastAsia="仿宋_GB2312" w:cs="仿宋_GB2312"/>
          <w:sz w:val="32"/>
          <w:szCs w:val="32"/>
          <w:highlight w:val="none"/>
        </w:rPr>
        <w:t>202</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eastAsia="zh-CN"/>
        </w:rPr>
        <w:t>项目</w:t>
      </w:r>
      <w:r>
        <w:rPr>
          <w:rFonts w:hint="eastAsia" w:ascii="仿宋_GB2312" w:hAnsi="仿宋" w:eastAsia="仿宋_GB2312" w:cs="仿宋_GB2312"/>
          <w:sz w:val="32"/>
          <w:szCs w:val="32"/>
          <w:highlight w:val="none"/>
        </w:rPr>
        <w:t>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十一、其他重要事项情况说明</w:t>
      </w:r>
    </w:p>
    <w:p>
      <w:pPr>
        <w:spacing w:line="360" w:lineRule="auto"/>
        <w:rPr>
          <w:rFonts w:ascii="黑体" w:hAnsi="黑体" w:eastAsia="黑体" w:cs="Times New Roman"/>
          <w:sz w:val="32"/>
          <w:szCs w:val="32"/>
          <w:highlight w:val="none"/>
        </w:rPr>
      </w:pPr>
      <w:r>
        <w:rPr>
          <w:rFonts w:hint="eastAsia" w:ascii="黑体" w:hAnsi="黑体" w:eastAsia="黑体" w:cs="Times New Roman"/>
          <w:sz w:val="32"/>
          <w:szCs w:val="32"/>
          <w:highlight w:val="none"/>
        </w:rPr>
        <w:t>第四部分 名词解释</w:t>
      </w:r>
    </w:p>
    <w:p>
      <w:pPr>
        <w:spacing w:line="360" w:lineRule="auto"/>
        <w:rPr>
          <w:rFonts w:ascii="黑体" w:hAnsi="黑体" w:eastAsia="黑体" w:cs="Times New Roman"/>
          <w:sz w:val="32"/>
          <w:szCs w:val="32"/>
          <w:highlight w:val="none"/>
        </w:rPr>
      </w:pPr>
    </w:p>
    <w:p>
      <w:pPr>
        <w:spacing w:line="360" w:lineRule="auto"/>
        <w:rPr>
          <w:rFonts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ascii="仿宋" w:hAnsi="仿宋" w:eastAsia="仿宋" w:cs="Times New Roman"/>
          <w:sz w:val="32"/>
          <w:szCs w:val="32"/>
          <w:highlight w:val="none"/>
        </w:rPr>
      </w:pPr>
    </w:p>
    <w:p>
      <w:p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第一部分  部门概况</w:t>
      </w:r>
    </w:p>
    <w:p>
      <w:pPr>
        <w:snapToGrid w:val="0"/>
        <w:spacing w:line="600" w:lineRule="exact"/>
        <w:ind w:firstLine="642" w:firstLineChars="200"/>
        <w:jc w:val="center"/>
        <w:rPr>
          <w:rFonts w:hint="eastAsia" w:ascii="黑体" w:hAnsi="黑体" w:eastAsia="黑体" w:cs="Times New Roman"/>
          <w:b/>
          <w:sz w:val="32"/>
          <w:szCs w:val="32"/>
          <w:highlight w:val="none"/>
        </w:rPr>
      </w:pP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长春市军队离休退休干部花园路休养所</w:t>
      </w:r>
      <w:r>
        <w:rPr>
          <w:rFonts w:hint="eastAsia" w:ascii="仿宋_GB2312" w:hAnsi="仿宋_GB2312" w:eastAsia="仿宋_GB2312" w:cs="仿宋_GB2312"/>
          <w:color w:val="000000"/>
          <w:sz w:val="32"/>
          <w:szCs w:val="32"/>
          <w:highlight w:val="none"/>
          <w:lang w:val="en-US" w:eastAsia="zh-CN"/>
        </w:rPr>
        <w:t>在市退役军人事务局的领导下贯彻落实党和政府有关军休干部工作的方针、政策。主要职能是：</w:t>
      </w:r>
    </w:p>
    <w:p>
      <w:pPr>
        <w:pageBreakBefore w:val="0"/>
        <w:widowControl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认真贯彻国家有关军队离退休干部工作的方针、政策，以落实军休干部的政治待遇、生活待遇为总的工作目标，做好服务管理工作。</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根据上述职责，长春</w:t>
      </w:r>
      <w:r>
        <w:rPr>
          <w:rFonts w:hint="eastAsia" w:ascii="仿宋_GB2312" w:hAnsi="仿宋_GB2312" w:eastAsia="仿宋_GB2312" w:cs="仿宋_GB2312"/>
          <w:color w:val="000000"/>
          <w:sz w:val="32"/>
          <w:szCs w:val="32"/>
          <w:highlight w:val="none"/>
          <w:lang w:val="en-US" w:eastAsia="zh-CN"/>
        </w:rPr>
        <w:t>市花园路军休所</w:t>
      </w:r>
      <w:r>
        <w:rPr>
          <w:rFonts w:hint="eastAsia" w:ascii="仿宋_GB2312" w:hAnsi="仿宋_GB2312" w:eastAsia="仿宋_GB2312" w:cs="仿宋_GB2312"/>
          <w:color w:val="000000"/>
          <w:sz w:val="32"/>
          <w:szCs w:val="32"/>
          <w:highlight w:val="none"/>
          <w:lang w:eastAsia="zh-CN"/>
        </w:rPr>
        <w:t>内设</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个</w:t>
      </w:r>
      <w:r>
        <w:rPr>
          <w:rFonts w:hint="eastAsia" w:ascii="仿宋_GB2312" w:hAnsi="仿宋_GB2312" w:eastAsia="仿宋_GB2312" w:cs="仿宋_GB2312"/>
          <w:color w:val="000000"/>
          <w:sz w:val="32"/>
          <w:szCs w:val="32"/>
          <w:highlight w:val="none"/>
          <w:lang w:val="en-US" w:eastAsia="zh-CN"/>
        </w:rPr>
        <w:t>科室</w:t>
      </w:r>
      <w:r>
        <w:rPr>
          <w:rFonts w:hint="eastAsia" w:ascii="仿宋_GB2312" w:hAnsi="仿宋_GB2312" w:eastAsia="仿宋_GB2312" w:cs="仿宋_GB2312"/>
          <w:color w:val="000000"/>
          <w:sz w:val="32"/>
          <w:szCs w:val="32"/>
          <w:highlight w:val="none"/>
          <w:lang w:eastAsia="zh-CN"/>
        </w:rPr>
        <w:t>，分别为办公室、组织宣传科、生活服务科。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办公室是休养所的综合部门，负责军休所的日常行政管理和服务保障工作。其主要职责是：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1.负责军休所日常行政管理工作的落实和督办，做好有关会议的会务协调保障工作。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2.负责军休所收、发文件的处理、督办工作及保密工作。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3.负责起草军休所工作计划、总结等文字材料。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4.负责调查研究，了解掌握有关工作情况，综合分析、及时反馈，为领导决策当好参谋助手。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5.负责本单位档案室的建设管理，负责对文书、财务、房屋和设备档案的收集、整理、归档、立卷及日常管理工作。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6.负责临时用工人员的管理工作，做好服务工作，抓好办公楼（室)、食堂、车库、庭院的卫生，院内美化及办公秩序管理工作。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7.负责军休所的房产、煤气、水、电的使用、治安保卫、四防安全等管理工作，协调公用企业做好供水、供热等保障工作。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8.协助财务做好固定资产的清点工作。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9.负责处理“三来”，即来信、来访、来电及对外接待工作。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10.完成所领导临时交办的其他工作。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）组织宣传科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组宣科是党委的日常办事机构。其职责是: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1.负责军休所日常党务和纪检工作。主要抓好政治建设、组织建设、思想建设、作风建设、纪律建设、制度建设。 组织职工和军休干部的政治学习和思想教育，制定学习计划，组织离退休干部阅读文件、过好党的组织生活、参加政治活动，慰问离退休干部，全面落实好军休干部政治待遇。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负责军休干部及职工党员干部队伍建设；负责做好入党积极分子的考察、教育和培养工作，按计划发展党员；负责党籍管理、党内统计，做好党费收缴、使用和管理工作，及时接转党的组织关系；抓好民主评议党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3.负责抓好对党支部的调查研究和工作指导，认真抓好党委工作目标管理考核项目的落实，及时传达上级有关精神，做好走访、慰问、扶贫等工作，当好党委的参谋助手。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负责军休所的人事劳资工作，负责本单位的职工招聘、培训、推荐、测评、考核的组织工作以及对干部的管理、监督工作；负责办理本单位管理的人员调整、外调、工资审核和调整、职称评聘申报等手续；承担本单位的干部人事报表、年报的填报以及干部档案管理、离退休职工的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5.负责组织开展适合军休干部的文化体育活动，引导和鼓励军休干部融入社会，余热生辉。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6.负责军休所信息报道工作。军休所的文字、图片及其他材料，经组宣科审核、所领导签阅后方可上传。负责行政报刊、学习材料等的订阅和发放工作。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7.负责组织并实施党组织换届选举工作，做好党的大会、民主生活会、组织生活会等党的会议工作。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.负责所领导交办的其他工作。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）生活服务科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生活服务科是做好军休干部日常服务管理工作的核心部门。其职责是：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1.负责接收军休干部，办理军休干部优抚、伤残、荣誉有关证件，负责办理军休干部病故后的各种手续。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2.负责军休所社会化服务建设，坚持共性服务和个性化服务相结合，拓展社会化服务，力争提高服务管理的质量。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协调做好军休干部的医疗保障工作，负责办理军休干部参加医疗保险相关手续，协调军休干部的体检、疗养、离休干部定点医院的选定工作，宣传医疗保健、卫生防病知识，协助和指导军休干部做好医疗工作，为军休干部医疗费报销和治疗创造方便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4.对高龄、失能、空巢的军休干部要重点照顾，采取定期联系、定人包户等工作方式，鼓励社会工作者、心理咨询人员等为休干提供及时方便的日常服务保障。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5.负责军休所的日常会计核算、资产管理及职工工资待遇的落实。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6.负责军休所活动场所的管理工作。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7.完成所领导交办的其他工作。</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三、部门预算基本情况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长春市军队离休退休干部</w:t>
      </w:r>
      <w:r>
        <w:rPr>
          <w:rFonts w:hint="eastAsia" w:ascii="仿宋_GB2312" w:hAnsi="仿宋_GB2312" w:eastAsia="仿宋_GB2312" w:cs="仿宋_GB2312"/>
          <w:color w:val="000000"/>
          <w:sz w:val="32"/>
          <w:szCs w:val="32"/>
          <w:highlight w:val="none"/>
          <w:lang w:val="en-US" w:eastAsia="zh-CN"/>
        </w:rPr>
        <w:t>花园路休养所</w:t>
      </w:r>
      <w:r>
        <w:rPr>
          <w:rFonts w:hint="eastAsia" w:ascii="仿宋_GB2312" w:hAnsi="仿宋_GB2312" w:eastAsia="仿宋_GB2312" w:cs="仿宋_GB2312"/>
          <w:color w:val="000000"/>
          <w:sz w:val="32"/>
          <w:szCs w:val="32"/>
          <w:highlight w:val="none"/>
          <w:lang w:eastAsia="zh-CN"/>
        </w:rPr>
        <w:t>本级预算单位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（二）预算单位人员构成情况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长春市军队离休退休干部花园路休养所事业单位现有人员</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lang w:eastAsia="zh-CN"/>
        </w:rPr>
        <w:t>人，其中在职人员</w:t>
      </w:r>
      <w:r>
        <w:rPr>
          <w:rFonts w:hint="eastAsia" w:ascii="仿宋_GB2312" w:hAnsi="仿宋_GB2312" w:eastAsia="仿宋_GB2312" w:cs="仿宋_GB2312"/>
          <w:color w:val="000000"/>
          <w:sz w:val="32"/>
          <w:szCs w:val="32"/>
          <w:highlight w:val="none"/>
          <w:lang w:val="en-US" w:eastAsia="zh-CN"/>
        </w:rPr>
        <w:t>25</w:t>
      </w:r>
      <w:r>
        <w:rPr>
          <w:rFonts w:hint="eastAsia" w:ascii="仿宋_GB2312" w:hAnsi="仿宋_GB2312" w:eastAsia="仿宋_GB2312" w:cs="仿宋_GB2312"/>
          <w:color w:val="000000"/>
          <w:sz w:val="32"/>
          <w:szCs w:val="32"/>
          <w:highlight w:val="none"/>
          <w:lang w:eastAsia="zh-CN"/>
        </w:rPr>
        <w:t>人，离退休人员</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人。</w:t>
      </w: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rPr>
          <w:rFonts w:hint="eastAsia" w:ascii="仿宋" w:hAnsi="仿宋" w:eastAsia="仿宋" w:cs="仿宋"/>
          <w:bCs/>
          <w:color w:val="000000"/>
          <w:sz w:val="32"/>
          <w:szCs w:val="32"/>
          <w:highlight w:val="none"/>
        </w:rPr>
      </w:pPr>
    </w:p>
    <w:p>
      <w:pPr>
        <w:widowControl/>
        <w:numPr>
          <w:ilvl w:val="0"/>
          <w:numId w:val="0"/>
        </w:numPr>
        <w:spacing w:line="360" w:lineRule="auto"/>
        <w:jc w:val="center"/>
        <w:rPr>
          <w:rFonts w:hint="eastAsia" w:ascii="黑体" w:hAnsi="黑体" w:eastAsia="黑体" w:cs="黑体"/>
          <w:sz w:val="32"/>
          <w:szCs w:val="32"/>
          <w:highlight w:val="none"/>
          <w:lang w:eastAsia="zh-CN"/>
        </w:rPr>
      </w:pPr>
    </w:p>
    <w:p>
      <w:pPr>
        <w:widowControl/>
        <w:numPr>
          <w:ilvl w:val="0"/>
          <w:numId w:val="0"/>
        </w:numPr>
        <w:spacing w:line="360" w:lineRule="auto"/>
        <w:jc w:val="center"/>
        <w:rPr>
          <w:rFonts w:hint="eastAsia" w:ascii="黑体" w:hAnsi="黑体" w:eastAsia="黑体" w:cs="黑体"/>
          <w:sz w:val="32"/>
          <w:szCs w:val="32"/>
          <w:highlight w:val="none"/>
          <w:lang w:eastAsia="zh-CN"/>
        </w:rPr>
      </w:pPr>
    </w:p>
    <w:p>
      <w:pPr>
        <w:widowControl/>
        <w:numPr>
          <w:ilvl w:val="0"/>
          <w:numId w:val="0"/>
        </w:numPr>
        <w:spacing w:line="360" w:lineRule="auto"/>
        <w:jc w:val="center"/>
        <w:rPr>
          <w:rFonts w:hint="eastAsia" w:ascii="黑体" w:hAnsi="黑体" w:eastAsia="黑体" w:cs="黑体"/>
          <w:sz w:val="32"/>
          <w:szCs w:val="32"/>
          <w:highlight w:val="none"/>
          <w:lang w:eastAsia="zh-CN"/>
        </w:rPr>
      </w:pPr>
    </w:p>
    <w:p>
      <w:pPr>
        <w:widowControl/>
        <w:numPr>
          <w:ilvl w:val="0"/>
          <w:numId w:val="0"/>
        </w:numPr>
        <w:spacing w:line="360" w:lineRule="auto"/>
        <w:jc w:val="center"/>
        <w:rPr>
          <w:rFonts w:hint="eastAsia" w:ascii="黑体" w:hAnsi="黑体" w:eastAsia="黑体" w:cs="黑体"/>
          <w:sz w:val="32"/>
          <w:szCs w:val="32"/>
          <w:highlight w:val="none"/>
          <w:lang w:eastAsia="zh-CN"/>
        </w:rPr>
      </w:pPr>
    </w:p>
    <w:p>
      <w:pPr>
        <w:widowControl/>
        <w:numPr>
          <w:ilvl w:val="0"/>
          <w:numId w:val="0"/>
        </w:numPr>
        <w:spacing w:line="360" w:lineRule="auto"/>
        <w:jc w:val="center"/>
        <w:rPr>
          <w:rFonts w:hint="eastAsia" w:ascii="黑体" w:hAnsi="黑体" w:eastAsia="黑体" w:cs="黑体"/>
          <w:sz w:val="32"/>
          <w:szCs w:val="32"/>
          <w:highlight w:val="none"/>
          <w:lang w:eastAsia="zh-CN"/>
        </w:rPr>
      </w:pPr>
    </w:p>
    <w:p>
      <w:pPr>
        <w:widowControl/>
        <w:numPr>
          <w:ilvl w:val="0"/>
          <w:numId w:val="0"/>
        </w:numPr>
        <w:spacing w:line="360" w:lineRule="auto"/>
        <w:jc w:val="center"/>
        <w:rPr>
          <w:rFonts w:hint="eastAsia" w:ascii="黑体" w:hAnsi="黑体" w:eastAsia="黑体" w:cs="黑体"/>
          <w:sz w:val="32"/>
          <w:szCs w:val="32"/>
          <w:highlight w:val="none"/>
          <w:lang w:eastAsia="zh-CN"/>
        </w:rPr>
      </w:pPr>
    </w:p>
    <w:p>
      <w:pPr>
        <w:widowControl/>
        <w:numPr>
          <w:ilvl w:val="0"/>
          <w:numId w:val="0"/>
        </w:numPr>
        <w:spacing w:line="36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第二部</w:t>
      </w:r>
      <w:r>
        <w:rPr>
          <w:rFonts w:hint="eastAsia" w:ascii="黑体" w:hAnsi="黑体" w:eastAsia="黑体" w:cs="黑体"/>
          <w:sz w:val="32"/>
          <w:szCs w:val="32"/>
          <w:highlight w:val="none"/>
        </w:rPr>
        <w:t>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年度部门预算表</w:t>
      </w:r>
    </w:p>
    <w:p>
      <w:pPr>
        <w:widowControl/>
        <w:numPr>
          <w:ilvl w:val="0"/>
          <w:numId w:val="2"/>
        </w:numPr>
        <w:spacing w:line="360" w:lineRule="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收支总表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收支总表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1084"/>
        <w:gridCol w:w="1167"/>
        <w:gridCol w:w="997"/>
        <w:gridCol w:w="974"/>
        <w:gridCol w:w="1240"/>
        <w:gridCol w:w="1196"/>
        <w:gridCol w:w="1139"/>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4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收                             入</w:t>
            </w:r>
          </w:p>
        </w:tc>
        <w:tc>
          <w:tcPr>
            <w:tcW w:w="4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w:t>
            </w:r>
            <w:r>
              <w:rPr>
                <w:rFonts w:hint="eastAsia" w:ascii="Arial" w:hAnsi="Arial" w:cs="Arial"/>
                <w:b/>
                <w:bCs/>
                <w:i w:val="0"/>
                <w:iCs w:val="0"/>
                <w:color w:val="000000"/>
                <w:kern w:val="0"/>
                <w:sz w:val="20"/>
                <w:szCs w:val="20"/>
                <w:u w:val="none"/>
                <w:lang w:val="en-US" w:eastAsia="zh-CN" w:bidi="ar"/>
              </w:rPr>
              <w:t>3</w:t>
            </w:r>
            <w:r>
              <w:rPr>
                <w:rFonts w:hint="default" w:ascii="Arial" w:hAnsi="Arial" w:eastAsia="宋体" w:cs="Arial"/>
                <w:b/>
                <w:bCs/>
                <w:i w:val="0"/>
                <w:iCs w:val="0"/>
                <w:color w:val="000000"/>
                <w:kern w:val="0"/>
                <w:sz w:val="20"/>
                <w:szCs w:val="20"/>
                <w:u w:val="none"/>
                <w:lang w:val="en-US" w:eastAsia="zh-CN" w:bidi="ar"/>
              </w:rPr>
              <w:t>年预算数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一、财政拨款收入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620.44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457.44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一、一般公共服务支出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一般公共预算拨款收入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620.44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457.44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二、外交支出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政府性基金预算拨款收入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三、国防支出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国有资本经营预算拨款收入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四、公共安全支出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二、财政专户管理资金收入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五、教育支出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三、单位资金收入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六、科学技术支出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七、文化旅游体育与传媒支出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事业单位经营收入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八、社会保障和就业支出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575.34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412.34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上级补助收入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九、社会保险基金支出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附属单位上缴收入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17.78</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17.78</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其他收入</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十一、节能环保支出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十二、城乡社区支出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十三、农林水支出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十四、交通运输支出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十五、资源勘探工业信息等支出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十六、商业服务业等支出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十七、金融支出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十八、援助其他地区支出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十九、自然资源海洋气象等支出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二十、住房保障支出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27.32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27.32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二十一、粮油物资储备支出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二十二、国有资本经营预算支出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二十三、灾害防治及应急管理支出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二十四、其他支出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本年收入合计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620.44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457.44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本年支出合计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620.44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457.44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财政拨款结转</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结转下年支出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其他收入结转结余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收入总计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620.44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457.44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支出总计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620.44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457.44</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163.00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0"/>
          <w:numId w:val="2"/>
        </w:numPr>
        <w:spacing w:line="360" w:lineRule="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收入总表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收入总表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宋体" w:cs="仿宋"/>
          <w:bCs/>
          <w:color w:val="000000"/>
          <w:sz w:val="32"/>
          <w:szCs w:val="32"/>
          <w:highlight w:val="none"/>
          <w:lang w:val="en-US" w:eastAsia="zh-CN"/>
        </w:rPr>
      </w:pPr>
      <w:r>
        <w:rPr>
          <w:rFonts w:hint="eastAsia"/>
          <w:w w:val="95"/>
          <w:sz w:val="20"/>
          <w:szCs w:val="20"/>
          <w:highlight w:val="none"/>
        </w:rPr>
        <w:t>单位：万</w:t>
      </w:r>
      <w:r>
        <w:rPr>
          <w:rFonts w:hint="eastAsia"/>
          <w:w w:val="95"/>
          <w:sz w:val="20"/>
          <w:szCs w:val="20"/>
          <w:highlight w:val="none"/>
          <w:lang w:val="en-US" w:eastAsia="zh-CN"/>
        </w:rPr>
        <w:t>元</w:t>
      </w:r>
    </w:p>
    <w:tbl>
      <w:tblPr>
        <w:tblStyle w:val="4"/>
        <w:tblW w:w="6518" w:type="pct"/>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
        <w:gridCol w:w="422"/>
        <w:gridCol w:w="507"/>
        <w:gridCol w:w="670"/>
        <w:gridCol w:w="653"/>
        <w:gridCol w:w="637"/>
        <w:gridCol w:w="550"/>
        <w:gridCol w:w="470"/>
        <w:gridCol w:w="500"/>
        <w:gridCol w:w="500"/>
        <w:gridCol w:w="478"/>
        <w:gridCol w:w="522"/>
        <w:gridCol w:w="480"/>
        <w:gridCol w:w="528"/>
        <w:gridCol w:w="645"/>
        <w:gridCol w:w="675"/>
        <w:gridCol w:w="480"/>
        <w:gridCol w:w="480"/>
        <w:gridCol w:w="479"/>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序号</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部门（单位）代码</w:t>
            </w:r>
          </w:p>
        </w:tc>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部门（单位）名称</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合计</w:t>
            </w:r>
          </w:p>
        </w:tc>
        <w:tc>
          <w:tcPr>
            <w:tcW w:w="531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38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一般公共预算</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事业收入</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事业单位经营收入</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上级补助收入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附属单位上缴收入</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eastAsia" w:ascii="宋体" w:hAnsi="宋体" w:eastAsia="宋体" w:cs="宋体"/>
                <w:b/>
                <w:bCs/>
                <w:i w:val="0"/>
                <w:iCs w:val="0"/>
                <w:color w:val="000000"/>
                <w:kern w:val="0"/>
                <w:sz w:val="20"/>
                <w:szCs w:val="20"/>
                <w:u w:val="none"/>
                <w:lang w:val="en-US" w:eastAsia="zh-CN" w:bidi="ar"/>
              </w:rPr>
              <w:t>一般公共预算拨款结转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政府性基金预算拨款结转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国有资本经营预算拨款结转</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单位资金结转结余</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1</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合计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620.44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3"/>
                <w:szCs w:val="13"/>
                <w:highlight w:val="none"/>
                <w:u w:val="none"/>
                <w:lang w:val="en-US" w:eastAsia="zh-CN"/>
              </w:rPr>
            </w:pPr>
            <w:r>
              <w:rPr>
                <w:rFonts w:hint="eastAsia" w:ascii="宋体" w:hAnsi="宋体" w:cs="宋体"/>
                <w:i w:val="0"/>
                <w:iCs w:val="0"/>
                <w:color w:val="000000"/>
                <w:sz w:val="13"/>
                <w:szCs w:val="13"/>
                <w:highlight w:val="none"/>
                <w:u w:val="none"/>
                <w:lang w:val="en-US" w:eastAsia="zh-CN"/>
              </w:rPr>
              <w:t>457.44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457.44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0.00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163.00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163.00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　313002009</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　长春市军队离休退休干部花园路休养所</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620.44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457.44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457.44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163.00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US"/>
              </w:rPr>
            </w:pPr>
            <w:r>
              <w:rPr>
                <w:rFonts w:hint="eastAsia" w:ascii="Arial" w:hAnsi="Arial" w:cs="Arial"/>
                <w:i w:val="0"/>
                <w:iCs w:val="0"/>
                <w:color w:val="000000"/>
                <w:kern w:val="0"/>
                <w:sz w:val="13"/>
                <w:szCs w:val="13"/>
                <w:u w:val="none"/>
                <w:lang w:val="en-US" w:eastAsia="zh-CN" w:bidi="ar"/>
              </w:rPr>
              <w:t>163.00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0"/>
          <w:numId w:val="2"/>
        </w:numPr>
        <w:spacing w:line="360" w:lineRule="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支出总表</w:t>
      </w:r>
    </w:p>
    <w:p>
      <w:pPr>
        <w:widowControl/>
        <w:spacing w:line="360" w:lineRule="auto"/>
        <w:jc w:val="center"/>
        <w:rPr>
          <w:rFonts w:hint="eastAsia" w:ascii="宋体" w:hAnsi="Times New Roman" w:cs="宋体"/>
          <w:b/>
          <w:w w:val="95"/>
          <w:kern w:val="0"/>
          <w:sz w:val="24"/>
          <w:szCs w:val="24"/>
          <w:highlight w:val="none"/>
        </w:rPr>
      </w:pPr>
      <w:r>
        <w:rPr>
          <w:rFonts w:hint="eastAsia" w:ascii="宋体" w:hAnsi="Times New Roman" w:cs="宋体"/>
          <w:b/>
          <w:w w:val="95"/>
          <w:kern w:val="0"/>
          <w:sz w:val="24"/>
          <w:szCs w:val="24"/>
          <w:highlight w:val="none"/>
        </w:rPr>
        <w:t>支出总表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4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107"/>
        <w:gridCol w:w="1713"/>
        <w:gridCol w:w="1085"/>
        <w:gridCol w:w="1207"/>
        <w:gridCol w:w="1115"/>
        <w:gridCol w:w="906"/>
        <w:gridCol w:w="803"/>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上缴上级支出</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620.44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286.86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333.58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575.34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241.76</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333.58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行政事业单位养老支出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27.43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退役安置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547.91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214.33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sz w:val="20"/>
                <w:szCs w:val="20"/>
                <w:highlight w:val="none"/>
                <w:u w:val="none"/>
                <w:lang w:val="en-US" w:eastAsia="zh-CN"/>
              </w:rPr>
              <w:t>333.58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2080902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军队移交政府的离退休人员安置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322.00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322.00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225.91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214.33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11.58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17.78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行政事业单位医疗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12.08</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5.70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住房改革支出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2210201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numPr>
          <w:ilvl w:val="0"/>
          <w:numId w:val="0"/>
        </w:numPr>
        <w:spacing w:line="360" w:lineRule="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四、财政拨款收支总表</w:t>
      </w:r>
    </w:p>
    <w:p>
      <w:pPr>
        <w:widowControl/>
        <w:spacing w:line="360" w:lineRule="auto"/>
        <w:jc w:val="left"/>
        <w:rPr>
          <w:rFonts w:hint="eastAsia" w:ascii="宋体" w:hAnsi="Times New Roman" w:cs="宋体"/>
          <w:b/>
          <w:w w:val="95"/>
          <w:kern w:val="0"/>
          <w:sz w:val="24"/>
          <w:szCs w:val="24"/>
          <w:highlight w:val="none"/>
        </w:rPr>
      </w:pPr>
    </w:p>
    <w:p>
      <w:pPr>
        <w:pStyle w:val="7"/>
        <w:kinsoku w:val="0"/>
        <w:overflowPunct w:val="0"/>
        <w:spacing w:before="1" w:line="240" w:lineRule="auto"/>
        <w:ind w:left="2852"/>
        <w:outlineLvl w:val="9"/>
        <w:rPr>
          <w:rFonts w:ascii="宋体" w:eastAsia="宋体" w:cs="宋体"/>
          <w:b/>
          <w:w w:val="95"/>
          <w:sz w:val="24"/>
          <w:szCs w:val="24"/>
          <w:highlight w:val="none"/>
        </w:rPr>
      </w:pPr>
      <w:r>
        <w:rPr>
          <w:rFonts w:hint="eastAsia" w:ascii="宋体" w:eastAsia="宋体" w:cs="宋体"/>
          <w:b/>
          <w:w w:val="95"/>
          <w:sz w:val="24"/>
          <w:szCs w:val="24"/>
          <w:highlight w:val="none"/>
        </w:rPr>
        <w:t>财政拨款收支总表</w:t>
      </w:r>
    </w:p>
    <w:p>
      <w:pPr>
        <w:pStyle w:val="3"/>
        <w:kinsoku w:val="0"/>
        <w:overflowPunct w:val="0"/>
        <w:ind w:left="2364"/>
        <w:jc w:val="right"/>
        <w:rPr>
          <w:rFonts w:hint="eastAsia" w:eastAsia="宋体"/>
          <w:highlight w:val="none"/>
          <w:lang w:val="en-US" w:eastAsia="zh-CN"/>
        </w:rPr>
      </w:pPr>
      <w:r>
        <w:rPr>
          <w:rFonts w:hint="eastAsia"/>
          <w:w w:val="95"/>
          <w:sz w:val="20"/>
          <w:szCs w:val="20"/>
          <w:highlight w:val="none"/>
        </w:rPr>
        <w:t>单位：万元</w:t>
      </w:r>
    </w:p>
    <w:tbl>
      <w:tblPr>
        <w:tblStyle w:val="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931"/>
        <w:gridCol w:w="1106"/>
        <w:gridCol w:w="1204"/>
        <w:gridCol w:w="1182"/>
        <w:gridCol w:w="932"/>
        <w:gridCol w:w="1103"/>
        <w:gridCol w:w="1121"/>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202</w:t>
            </w:r>
            <w:r>
              <w:rPr>
                <w:rFonts w:hint="eastAsia" w:ascii="Arial" w:hAnsi="Arial" w:cs="Arial"/>
                <w:b/>
                <w:bCs/>
                <w:i w:val="0"/>
                <w:iCs w:val="0"/>
                <w:color w:val="000000"/>
                <w:kern w:val="0"/>
                <w:sz w:val="20"/>
                <w:szCs w:val="20"/>
                <w:highlight w:val="none"/>
                <w:u w:val="none"/>
                <w:lang w:val="en-US" w:eastAsia="zh-CN" w:bidi="ar"/>
              </w:rPr>
              <w:t>3</w:t>
            </w:r>
            <w:r>
              <w:rPr>
                <w:rFonts w:hint="default" w:ascii="Arial" w:hAnsi="Arial" w:eastAsia="宋体" w:cs="Arial"/>
                <w:b/>
                <w:bCs/>
                <w:i w:val="0"/>
                <w:iCs w:val="0"/>
                <w:color w:val="000000"/>
                <w:kern w:val="0"/>
                <w:sz w:val="20"/>
                <w:szCs w:val="20"/>
                <w:highlight w:val="none"/>
                <w:u w:val="none"/>
                <w:lang w:val="en-US" w:eastAsia="zh-CN" w:bidi="ar"/>
              </w:rPr>
              <w:t>年预算数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620.44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457.44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620.44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457.44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620.44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457.44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一、一般公共服务支出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二、外交支出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三、国防支出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四、公共安全支出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五、教育支出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六、科学技术支出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七、文化旅游体育与传媒支出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八、社会保障和就业支出　</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575.34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412.34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九、社会保险基金支出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十、卫生健康支出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十一、节能环保支出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十二、城乡社区支出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十三、农林水支出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十四、交通运输支出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十五、资源勘探工业信息等支出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十六、商业服务业等支出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十七、金融支出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十八、援助其他地区支出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十九、自然资源海洋气象等支出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二十、住房保障支出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二十一、粮油物资储备支出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二、上年结转</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二十二、国有资本经营预算支出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二十三、灾害防治及应急管理支出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二十四、其他支出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二、结转下年支出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 入 总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620.44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457.44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支 出 总 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620.44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457.44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163.00</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五、本年</w:t>
      </w:r>
      <w:r>
        <w:rPr>
          <w:rFonts w:hint="eastAsia" w:ascii="仿宋_GB2312" w:hAnsi="仿宋_GB2312" w:eastAsia="仿宋_GB2312" w:cs="仿宋_GB2312"/>
          <w:bCs/>
          <w:color w:val="000000"/>
          <w:sz w:val="32"/>
          <w:szCs w:val="32"/>
          <w:highlight w:val="none"/>
        </w:rPr>
        <w:t>一般公共预算支出表</w:t>
      </w:r>
    </w:p>
    <w:p>
      <w:pPr>
        <w:pStyle w:val="7"/>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rPr>
        <w:t>一般公共预算支出表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107"/>
        <w:gridCol w:w="1304"/>
        <w:gridCol w:w="1226"/>
        <w:gridCol w:w="1255"/>
        <w:gridCol w:w="1241"/>
        <w:gridCol w:w="1148"/>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人员经费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公用经费</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620.44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286.86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250.11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36.75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575.34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241.76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205.01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36.75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20805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 xml:space="preserve"> 行政事业支出养老支出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w:t>
            </w:r>
            <w:r>
              <w:rPr>
                <w:rFonts w:hint="eastAsia" w:ascii="Arial" w:hAnsi="Arial"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2080505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机关事业单位基本养老保险缴费支出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退役安置</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547.91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214.33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177.58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36.75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2080902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　军队移交政府离退休</w:t>
            </w:r>
            <w:r>
              <w:rPr>
                <w:rFonts w:hint="eastAsia" w:ascii="Arial" w:hAnsi="Arial" w:cs="Arial"/>
                <w:i w:val="0"/>
                <w:iCs w:val="0"/>
                <w:color w:val="000000"/>
                <w:kern w:val="0"/>
                <w:sz w:val="20"/>
                <w:szCs w:val="20"/>
                <w:highlight w:val="none"/>
                <w:u w:val="none"/>
                <w:lang w:val="en-US" w:eastAsia="zh-CN" w:bidi="ar"/>
              </w:rPr>
              <w:t>人员安置</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322.00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2080903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军队移交政府离退休干部管理机构</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225.91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214.33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177.58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36.75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21011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color w:val="000000"/>
                <w:sz w:val="20"/>
                <w:szCs w:val="20"/>
                <w:highlight w:val="none"/>
                <w:u w:val="none"/>
                <w:lang w:eastAsia="zh-CN"/>
              </w:rPr>
            </w:pPr>
            <w:r>
              <w:rPr>
                <w:rFonts w:hint="eastAsia" w:ascii="Arial" w:hAnsi="Arial" w:cs="Arial"/>
                <w:i w:val="0"/>
                <w:iCs w:val="0"/>
                <w:color w:val="000000"/>
                <w:sz w:val="20"/>
                <w:szCs w:val="20"/>
                <w:highlight w:val="none"/>
                <w:u w:val="none"/>
                <w:lang w:eastAsia="zh-CN"/>
              </w:rPr>
              <w:t>行政事业单位医疗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17.78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事业单位医疗</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12.08</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12.08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12.08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2101103</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5.70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27.32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22102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w:t>
            </w:r>
            <w:r>
              <w:rPr>
                <w:rFonts w:hint="eastAsia" w:ascii="Arial" w:hAnsi="Arial" w:cs="Arial"/>
                <w:i w:val="0"/>
                <w:iCs w:val="0"/>
                <w:color w:val="000000"/>
                <w:kern w:val="0"/>
                <w:sz w:val="20"/>
                <w:szCs w:val="20"/>
                <w:highlight w:val="none"/>
                <w:u w:val="none"/>
                <w:lang w:val="en-US" w:eastAsia="zh-CN" w:bidi="ar"/>
              </w:rPr>
              <w:t>改革支出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　　</w:t>
            </w:r>
            <w:r>
              <w:rPr>
                <w:rFonts w:hint="eastAsia" w:ascii="Arial" w:hAnsi="Arial" w:cs="Arial"/>
                <w:i w:val="0"/>
                <w:iCs w:val="0"/>
                <w:color w:val="000000"/>
                <w:kern w:val="0"/>
                <w:sz w:val="20"/>
                <w:szCs w:val="20"/>
                <w:highlight w:val="none"/>
                <w:u w:val="none"/>
                <w:lang w:val="en-US" w:eastAsia="zh-CN" w:bidi="ar"/>
              </w:rPr>
              <w:t>2210201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住房公积金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numPr>
          <w:ilvl w:val="0"/>
          <w:numId w:val="3"/>
        </w:numPr>
        <w:spacing w:line="360" w:lineRule="auto"/>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eastAsia="zh-CN"/>
        </w:rPr>
        <w:t>本年</w:t>
      </w:r>
      <w:r>
        <w:rPr>
          <w:rFonts w:hint="eastAsia" w:ascii="仿宋_GB2312" w:hAnsi="仿宋_GB2312" w:eastAsia="仿宋_GB2312" w:cs="仿宋_GB2312"/>
          <w:bCs/>
          <w:color w:val="000000"/>
          <w:sz w:val="32"/>
          <w:szCs w:val="32"/>
          <w:highlight w:val="none"/>
        </w:rPr>
        <w:t>一般公共预算基本支出表</w:t>
      </w:r>
    </w:p>
    <w:p>
      <w:pPr>
        <w:pStyle w:val="7"/>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rPr>
        <w:t>一般公共预算基本支出表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1050"/>
        <w:gridCol w:w="2820"/>
        <w:gridCol w:w="1095"/>
        <w:gridCol w:w="141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科目编码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经济分类科目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人员经费</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286.86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250.11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248.65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248.65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基本工资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98.03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98.03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津贴补贴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奖金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8.17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绩效工资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65.26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机关事业单位基本养老保险缴费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27.43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职工基本医疗保险缴费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11.43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公务员医疗补助缴费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5.06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5.06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其他社会保障缴费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其他工资福利支出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3.81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商品和服务支出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36.75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办公费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水费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00" w:firstLineChars="30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邮电费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差旅费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维修（护）费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培训费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公务接待费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0.68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工会经费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2</w:t>
            </w:r>
            <w:r>
              <w:rPr>
                <w:rFonts w:hint="eastAsia" w:ascii="Arial" w:hAnsi="Arial" w:cs="Arial"/>
                <w:i w:val="0"/>
                <w:iCs w:val="0"/>
                <w:color w:val="000000"/>
                <w:kern w:val="0"/>
                <w:sz w:val="20"/>
                <w:szCs w:val="20"/>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30229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福利费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5.63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30231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公务用车运行维护费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1.46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退休费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医疗费补助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0.64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　其他对个人和家庭的补助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p>
    <w:p>
      <w:pPr>
        <w:widowControl/>
        <w:numPr>
          <w:ilvl w:val="0"/>
          <w:numId w:val="0"/>
        </w:numPr>
        <w:spacing w:line="360" w:lineRule="auto"/>
        <w:ind w:leftChars="0"/>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七、本年</w:t>
      </w:r>
      <w:r>
        <w:rPr>
          <w:rFonts w:hint="eastAsia" w:ascii="仿宋_GB2312" w:hAnsi="仿宋_GB2312" w:eastAsia="仿宋_GB2312" w:cs="仿宋_GB2312"/>
          <w:bCs/>
          <w:color w:val="000000"/>
          <w:sz w:val="32"/>
          <w:szCs w:val="32"/>
          <w:highlight w:val="none"/>
        </w:rPr>
        <w:t>一般公共预算“三公”经费支出表</w:t>
      </w:r>
    </w:p>
    <w:p>
      <w:pPr>
        <w:pStyle w:val="7"/>
        <w:kinsoku w:val="0"/>
        <w:overflowPunct w:val="0"/>
        <w:spacing w:line="619" w:lineRule="exact"/>
        <w:ind w:left="1612" w:firstLine="343" w:firstLineChars="150"/>
        <w:outlineLvl w:val="9"/>
        <w:rPr>
          <w:w w:val="95"/>
          <w:highlight w:val="none"/>
        </w:rPr>
      </w:pPr>
      <w:r>
        <w:rPr>
          <w:rFonts w:hint="eastAsia" w:ascii="宋体" w:eastAsia="宋体" w:cs="宋体"/>
          <w:b/>
          <w:w w:val="95"/>
          <w:sz w:val="24"/>
          <w:szCs w:val="24"/>
          <w:highlight w:val="none"/>
        </w:rPr>
        <w:t>一般公共预算</w:t>
      </w:r>
      <w:r>
        <w:rPr>
          <w:rFonts w:ascii="宋体" w:eastAsia="宋体" w:cs="宋体"/>
          <w:b/>
          <w:w w:val="95"/>
          <w:sz w:val="24"/>
          <w:szCs w:val="24"/>
          <w:highlight w:val="none"/>
        </w:rPr>
        <w:t>“</w:t>
      </w:r>
      <w:r>
        <w:rPr>
          <w:rFonts w:hint="eastAsia" w:ascii="宋体" w:eastAsia="宋体" w:cs="宋体"/>
          <w:b/>
          <w:w w:val="95"/>
          <w:sz w:val="24"/>
          <w:szCs w:val="24"/>
          <w:highlight w:val="none"/>
        </w:rPr>
        <w:t>三公</w:t>
      </w:r>
      <w:r>
        <w:rPr>
          <w:rFonts w:ascii="宋体" w:eastAsia="宋体" w:cs="宋体"/>
          <w:b/>
          <w:w w:val="95"/>
          <w:sz w:val="24"/>
          <w:szCs w:val="24"/>
          <w:highlight w:val="none"/>
        </w:rPr>
        <w:t>”</w:t>
      </w:r>
      <w:r>
        <w:rPr>
          <w:rFonts w:hint="eastAsia" w:ascii="宋体" w:eastAsia="宋体" w:cs="宋体"/>
          <w:b/>
          <w:w w:val="95"/>
          <w:sz w:val="24"/>
          <w:szCs w:val="24"/>
          <w:highlight w:val="none"/>
        </w:rPr>
        <w:t>经费支出表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7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735"/>
        <w:gridCol w:w="782"/>
        <w:gridCol w:w="735"/>
        <w:gridCol w:w="660"/>
        <w:gridCol w:w="615"/>
        <w:gridCol w:w="615"/>
        <w:gridCol w:w="645"/>
        <w:gridCol w:w="645"/>
        <w:gridCol w:w="63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“三公”经费合计</w:t>
            </w:r>
          </w:p>
        </w:tc>
        <w:tc>
          <w:tcPr>
            <w:tcW w:w="47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公务用车购置及运行费</w:t>
            </w:r>
          </w:p>
        </w:tc>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公务用车购置费</w:t>
            </w:r>
          </w:p>
        </w:tc>
        <w:tc>
          <w:tcPr>
            <w:tcW w:w="1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公务用车运行费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15.25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14.58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11.58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0.67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0.67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_GB2312" w:hAnsi="仿宋_GB2312" w:eastAsia="仿宋_GB2312" w:cs="仿宋_GB2312"/>
          <w:bCs/>
          <w:color w:val="000000"/>
          <w:sz w:val="32"/>
          <w:szCs w:val="32"/>
          <w:highlight w:val="none"/>
        </w:rPr>
      </w:pPr>
    </w:p>
    <w:p>
      <w:pPr>
        <w:widowControl/>
        <w:spacing w:line="360" w:lineRule="auto"/>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八、</w:t>
      </w:r>
      <w:r>
        <w:rPr>
          <w:rFonts w:hint="eastAsia" w:ascii="仿宋_GB2312" w:hAnsi="仿宋_GB2312" w:eastAsia="仿宋_GB2312" w:cs="仿宋_GB2312"/>
          <w:bCs/>
          <w:color w:val="000000"/>
          <w:sz w:val="32"/>
          <w:szCs w:val="32"/>
          <w:highlight w:val="none"/>
          <w:lang w:eastAsia="zh-CN"/>
        </w:rPr>
        <w:t>本年</w:t>
      </w:r>
      <w:r>
        <w:rPr>
          <w:rFonts w:hint="eastAsia" w:ascii="仿宋_GB2312" w:hAnsi="仿宋_GB2312" w:eastAsia="仿宋_GB2312" w:cs="仿宋_GB2312"/>
          <w:bCs/>
          <w:color w:val="000000"/>
          <w:sz w:val="32"/>
          <w:szCs w:val="32"/>
          <w:highlight w:val="none"/>
        </w:rPr>
        <w:t>政府性基金预算支出表</w:t>
      </w:r>
    </w:p>
    <w:p>
      <w:pPr>
        <w:widowControl/>
        <w:tabs>
          <w:tab w:val="left" w:pos="1370"/>
        </w:tabs>
        <w:spacing w:line="360" w:lineRule="auto"/>
        <w:jc w:val="center"/>
        <w:rPr>
          <w:rFonts w:ascii="宋体" w:cs="宋体"/>
          <w:b/>
          <w:w w:val="95"/>
          <w:sz w:val="24"/>
          <w:szCs w:val="24"/>
          <w:highlight w:val="none"/>
        </w:rPr>
      </w:pPr>
      <w:r>
        <w:rPr>
          <w:rFonts w:hint="eastAsia" w:ascii="宋体" w:cs="宋体"/>
          <w:b/>
          <w:w w:val="95"/>
          <w:sz w:val="24"/>
          <w:szCs w:val="24"/>
          <w:highlight w:val="none"/>
        </w:rPr>
        <w:t>政府性基金预算支出表</w:t>
      </w:r>
    </w:p>
    <w:p>
      <w:pPr>
        <w:pStyle w:val="3"/>
        <w:kinsoku w:val="0"/>
        <w:overflowPunct w:val="0"/>
        <w:ind w:left="2364"/>
        <w:jc w:val="right"/>
        <w:rPr>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合计</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基本支出</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1</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2</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3</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4</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5</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_GB2312" w:hAnsi="仿宋_GB2312" w:eastAsia="仿宋_GB2312" w:cs="仿宋_GB2312"/>
          <w:bCs/>
          <w:color w:val="000000"/>
          <w:sz w:val="32"/>
          <w:szCs w:val="32"/>
          <w:highlight w:val="none"/>
        </w:rPr>
      </w:pPr>
    </w:p>
    <w:p>
      <w:pPr>
        <w:widowControl/>
        <w:spacing w:line="360" w:lineRule="auto"/>
        <w:jc w:val="left"/>
        <w:rPr>
          <w:rFonts w:hint="eastAsia" w:ascii="仿宋_GB2312" w:hAnsi="仿宋_GB2312" w:eastAsia="仿宋_GB2312" w:cs="仿宋_GB2312"/>
          <w:bCs/>
          <w:color w:val="000000"/>
          <w:sz w:val="32"/>
          <w:szCs w:val="32"/>
          <w:highlight w:val="none"/>
        </w:rPr>
      </w:pPr>
    </w:p>
    <w:p>
      <w:pPr>
        <w:widowControl/>
        <w:spacing w:line="360" w:lineRule="auto"/>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九、国有资本经营预算支出表</w:t>
      </w:r>
    </w:p>
    <w:p>
      <w:pPr>
        <w:pStyle w:val="7"/>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rPr>
        <w:t>国有资本经营预算支出表</w:t>
      </w:r>
    </w:p>
    <w:p>
      <w:pPr>
        <w:pStyle w:val="7"/>
        <w:kinsoku w:val="0"/>
        <w:overflowPunct w:val="0"/>
        <w:ind w:left="2243"/>
        <w:outlineLvl w:val="9"/>
        <w:rPr>
          <w:rFonts w:eastAsia="宋体"/>
          <w:w w:val="95"/>
          <w:highlight w:val="none"/>
        </w:rPr>
      </w:pPr>
    </w:p>
    <w:p>
      <w:pPr>
        <w:pStyle w:val="3"/>
        <w:kinsoku w:val="0"/>
        <w:overflowPunct w:val="0"/>
        <w:ind w:left="2364"/>
        <w:jc w:val="right"/>
        <w:rPr>
          <w:rFonts w:hint="eastAsia"/>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序号</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功能分类科目名称</w:t>
            </w:r>
          </w:p>
        </w:tc>
        <w:tc>
          <w:tcPr>
            <w:tcW w:w="5865"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hint="eastAsia" w:ascii="宋体" w:hAnsi="宋体" w:cs="Arial"/>
                <w:b/>
                <w:bCs/>
                <w:kern w:val="0"/>
                <w:sz w:val="20"/>
                <w:szCs w:val="20"/>
                <w:highlight w:val="none"/>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合计</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基本支出</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2</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5</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 w:hAnsi="仿宋" w:eastAsia="仿宋" w:cs="仿宋"/>
          <w:bCs/>
          <w:color w:val="000000"/>
          <w:sz w:val="32"/>
          <w:szCs w:val="32"/>
        </w:rPr>
      </w:pPr>
    </w:p>
    <w:p>
      <w:pPr>
        <w:widowControl/>
        <w:spacing w:line="360" w:lineRule="auto"/>
        <w:jc w:val="left"/>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十</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项目支出表</w:t>
      </w:r>
    </w:p>
    <w:p>
      <w:pPr>
        <w:pStyle w:val="8"/>
        <w:kinsoku w:val="0"/>
        <w:overflowPunct w:val="0"/>
        <w:ind w:left="0"/>
        <w:jc w:val="center"/>
        <w:outlineLvl w:val="9"/>
        <w:rPr>
          <w:rFonts w:eastAsia="宋体"/>
          <w:w w:val="95"/>
        </w:rPr>
      </w:pPr>
      <w:r>
        <w:rPr>
          <w:rFonts w:hint="eastAsia" w:ascii="宋体" w:hAnsi="Calibri" w:eastAsia="宋体" w:cs="宋体"/>
          <w:b/>
          <w:w w:val="95"/>
          <w:kern w:val="2"/>
          <w:sz w:val="24"/>
          <w:szCs w:val="24"/>
          <w:lang w:val="en-US" w:eastAsia="zh-CN"/>
        </w:rPr>
        <w:t>项目</w:t>
      </w:r>
      <w:r>
        <w:rPr>
          <w:rFonts w:hint="eastAsia" w:ascii="宋体" w:hAnsi="Calibri" w:eastAsia="宋体" w:cs="宋体"/>
          <w:b/>
          <w:w w:val="95"/>
          <w:kern w:val="2"/>
          <w:sz w:val="24"/>
          <w:szCs w:val="24"/>
        </w:rPr>
        <w:t>支出表</w:t>
      </w:r>
    </w:p>
    <w:p>
      <w:pPr>
        <w:pStyle w:val="3"/>
        <w:kinsoku w:val="0"/>
        <w:overflowPunct w:val="0"/>
        <w:ind w:left="2364"/>
        <w:jc w:val="right"/>
        <w:rPr>
          <w:w w:val="95"/>
          <w:sz w:val="20"/>
          <w:szCs w:val="20"/>
        </w:rPr>
      </w:pPr>
      <w:r>
        <w:rPr>
          <w:rFonts w:hint="eastAsia"/>
          <w:w w:val="95"/>
          <w:sz w:val="20"/>
          <w:szCs w:val="20"/>
        </w:rPr>
        <w:t>单位：万元</w:t>
      </w:r>
    </w:p>
    <w:tbl>
      <w:tblPr>
        <w:tblStyle w:val="5"/>
        <w:tblpPr w:leftFromText="180" w:rightFromText="180" w:vertAnchor="text" w:horzAnchor="page" w:tblpXSpec="center" w:tblpY="849"/>
        <w:tblOverlap w:val="never"/>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39"/>
        <w:gridCol w:w="810"/>
        <w:gridCol w:w="690"/>
        <w:gridCol w:w="870"/>
        <w:gridCol w:w="825"/>
        <w:gridCol w:w="840"/>
        <w:gridCol w:w="600"/>
        <w:gridCol w:w="615"/>
        <w:gridCol w:w="795"/>
        <w:gridCol w:w="510"/>
        <w:gridCol w:w="510"/>
        <w:gridCol w:w="55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Merge w:val="restart"/>
          </w:tcPr>
          <w:p>
            <w:pPr>
              <w:jc w:val="center"/>
              <w:rPr>
                <w:rFonts w:hint="eastAsia" w:eastAsia="宋体"/>
                <w:vertAlign w:val="baseline"/>
                <w:lang w:val="en-US" w:eastAsia="zh-CN"/>
              </w:rPr>
            </w:pPr>
            <w:r>
              <w:rPr>
                <w:rFonts w:hint="eastAsia"/>
                <w:vertAlign w:val="baseline"/>
                <w:lang w:val="en-US" w:eastAsia="zh-CN"/>
              </w:rPr>
              <w:t>序号</w:t>
            </w:r>
          </w:p>
        </w:tc>
        <w:tc>
          <w:tcPr>
            <w:tcW w:w="539" w:type="dxa"/>
            <w:vMerge w:val="restart"/>
          </w:tcPr>
          <w:p>
            <w:pPr>
              <w:rPr>
                <w:rFonts w:hint="eastAsia" w:eastAsia="宋体"/>
                <w:vertAlign w:val="baseline"/>
                <w:lang w:val="en-US" w:eastAsia="zh-CN"/>
              </w:rPr>
            </w:pPr>
            <w:r>
              <w:rPr>
                <w:rFonts w:hint="eastAsia"/>
                <w:vertAlign w:val="baseline"/>
                <w:lang w:val="en-US" w:eastAsia="zh-CN"/>
              </w:rPr>
              <w:t>类型</w:t>
            </w:r>
          </w:p>
        </w:tc>
        <w:tc>
          <w:tcPr>
            <w:tcW w:w="1500" w:type="dxa"/>
            <w:gridSpan w:val="2"/>
          </w:tcPr>
          <w:p>
            <w:pPr>
              <w:rPr>
                <w:vertAlign w:val="baseline"/>
              </w:rPr>
            </w:pPr>
            <w:r>
              <w:rPr>
                <w:rFonts w:hint="eastAsia"/>
                <w:vertAlign w:val="baseline"/>
                <w:lang w:val="en-US" w:eastAsia="zh-CN"/>
              </w:rPr>
              <w:t>项目名称</w:t>
            </w:r>
          </w:p>
        </w:tc>
        <w:tc>
          <w:tcPr>
            <w:tcW w:w="870" w:type="dxa"/>
            <w:vMerge w:val="restart"/>
          </w:tcPr>
          <w:p>
            <w:pPr>
              <w:jc w:val="center"/>
              <w:rPr>
                <w:rFonts w:hint="default" w:eastAsia="宋体"/>
                <w:vertAlign w:val="baseline"/>
                <w:lang w:val="en-US" w:eastAsia="zh-CN"/>
              </w:rPr>
            </w:pPr>
            <w:r>
              <w:rPr>
                <w:rFonts w:hint="eastAsia"/>
                <w:vertAlign w:val="baseline"/>
                <w:lang w:val="en-US" w:eastAsia="zh-CN"/>
              </w:rPr>
              <w:t>项目单位</w:t>
            </w:r>
          </w:p>
        </w:tc>
        <w:tc>
          <w:tcPr>
            <w:tcW w:w="825" w:type="dxa"/>
            <w:vMerge w:val="restart"/>
          </w:tcPr>
          <w:p>
            <w:pPr>
              <w:jc w:val="center"/>
              <w:rPr>
                <w:rFonts w:hint="eastAsia" w:eastAsia="宋体"/>
                <w:vertAlign w:val="baseline"/>
                <w:lang w:val="en-US" w:eastAsia="zh-CN"/>
              </w:rPr>
            </w:pPr>
            <w:r>
              <w:rPr>
                <w:rFonts w:hint="eastAsia"/>
                <w:vertAlign w:val="baseline"/>
                <w:lang w:val="en-US" w:eastAsia="zh-CN"/>
              </w:rPr>
              <w:t>合计</w:t>
            </w:r>
          </w:p>
        </w:tc>
        <w:tc>
          <w:tcPr>
            <w:tcW w:w="2055" w:type="dxa"/>
            <w:gridSpan w:val="3"/>
          </w:tcPr>
          <w:p>
            <w:pPr>
              <w:rPr>
                <w:rFonts w:hint="default" w:eastAsia="宋体"/>
                <w:vertAlign w:val="baseline"/>
                <w:lang w:val="en-US" w:eastAsia="zh-CN"/>
              </w:rPr>
            </w:pPr>
            <w:r>
              <w:rPr>
                <w:rFonts w:hint="eastAsia"/>
                <w:vertAlign w:val="baseline"/>
                <w:lang w:val="en-US" w:eastAsia="zh-CN"/>
              </w:rPr>
              <w:t>本年财政拨款</w:t>
            </w:r>
          </w:p>
        </w:tc>
        <w:tc>
          <w:tcPr>
            <w:tcW w:w="1815" w:type="dxa"/>
            <w:gridSpan w:val="3"/>
          </w:tcPr>
          <w:p>
            <w:pPr>
              <w:jc w:val="center"/>
              <w:rPr>
                <w:rFonts w:hint="default" w:eastAsia="宋体"/>
                <w:vertAlign w:val="baseline"/>
                <w:lang w:val="en-US" w:eastAsia="zh-CN"/>
              </w:rPr>
            </w:pPr>
            <w:r>
              <w:rPr>
                <w:rFonts w:hint="eastAsia"/>
                <w:vertAlign w:val="baseline"/>
                <w:lang w:val="en-US" w:eastAsia="zh-CN"/>
              </w:rPr>
              <w:t>财政拨款结转</w:t>
            </w:r>
          </w:p>
        </w:tc>
        <w:tc>
          <w:tcPr>
            <w:tcW w:w="555" w:type="dxa"/>
            <w:vMerge w:val="restart"/>
          </w:tcPr>
          <w:p>
            <w:pPr>
              <w:rPr>
                <w:rFonts w:hint="default" w:eastAsia="宋体"/>
                <w:vertAlign w:val="baseline"/>
                <w:lang w:val="en-US" w:eastAsia="zh-CN"/>
              </w:rPr>
            </w:pPr>
            <w:r>
              <w:rPr>
                <w:rFonts w:hint="eastAsia"/>
                <w:vertAlign w:val="baseline"/>
                <w:lang w:val="en-US" w:eastAsia="zh-CN"/>
              </w:rPr>
              <w:t>财政专户管理资金</w:t>
            </w:r>
          </w:p>
        </w:tc>
        <w:tc>
          <w:tcPr>
            <w:tcW w:w="540" w:type="dxa"/>
            <w:vMerge w:val="restart"/>
          </w:tcPr>
          <w:p>
            <w:pPr>
              <w:rPr>
                <w:rFonts w:hint="default" w:eastAsia="宋体"/>
                <w:vertAlign w:val="baseline"/>
                <w:lang w:val="en-US" w:eastAsia="zh-CN"/>
              </w:rPr>
            </w:pPr>
            <w:r>
              <w:rPr>
                <w:rFonts w:hint="eastAsia"/>
                <w:vertAlign w:val="baseline"/>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663" w:type="dxa"/>
            <w:vMerge w:val="continue"/>
          </w:tcPr>
          <w:p>
            <w:pPr>
              <w:rPr>
                <w:vertAlign w:val="baseline"/>
              </w:rPr>
            </w:pPr>
          </w:p>
        </w:tc>
        <w:tc>
          <w:tcPr>
            <w:tcW w:w="539" w:type="dxa"/>
            <w:vMerge w:val="continue"/>
          </w:tcPr>
          <w:p>
            <w:pPr>
              <w:rPr>
                <w:vertAlign w:val="baseline"/>
              </w:rPr>
            </w:pPr>
          </w:p>
        </w:tc>
        <w:tc>
          <w:tcPr>
            <w:tcW w:w="810" w:type="dxa"/>
          </w:tcPr>
          <w:p>
            <w:pPr>
              <w:jc w:val="center"/>
              <w:rPr>
                <w:rFonts w:hint="default" w:eastAsia="宋体"/>
                <w:vertAlign w:val="baseline"/>
                <w:lang w:val="en-US" w:eastAsia="zh-CN"/>
              </w:rPr>
            </w:pPr>
            <w:r>
              <w:rPr>
                <w:rFonts w:hint="eastAsia"/>
                <w:vertAlign w:val="baseline"/>
                <w:lang w:val="en-US" w:eastAsia="zh-CN"/>
              </w:rPr>
              <w:t>一级项目</w:t>
            </w:r>
          </w:p>
        </w:tc>
        <w:tc>
          <w:tcPr>
            <w:tcW w:w="690" w:type="dxa"/>
          </w:tcPr>
          <w:p>
            <w:pPr>
              <w:jc w:val="center"/>
              <w:rPr>
                <w:rFonts w:hint="default" w:eastAsia="宋体"/>
                <w:vertAlign w:val="baseline"/>
                <w:lang w:val="en-US" w:eastAsia="zh-CN"/>
              </w:rPr>
            </w:pPr>
            <w:r>
              <w:rPr>
                <w:rFonts w:hint="eastAsia"/>
                <w:vertAlign w:val="baseline"/>
                <w:lang w:val="en-US" w:eastAsia="zh-CN"/>
              </w:rPr>
              <w:t>二级项目</w:t>
            </w:r>
          </w:p>
        </w:tc>
        <w:tc>
          <w:tcPr>
            <w:tcW w:w="870" w:type="dxa"/>
            <w:vMerge w:val="continue"/>
          </w:tcPr>
          <w:p>
            <w:pPr>
              <w:rPr>
                <w:vertAlign w:val="baseline"/>
              </w:rPr>
            </w:pPr>
          </w:p>
        </w:tc>
        <w:tc>
          <w:tcPr>
            <w:tcW w:w="825" w:type="dxa"/>
            <w:vMerge w:val="continue"/>
          </w:tcPr>
          <w:p>
            <w:pPr>
              <w:rPr>
                <w:vertAlign w:val="baseline"/>
              </w:rPr>
            </w:pPr>
          </w:p>
        </w:tc>
        <w:tc>
          <w:tcPr>
            <w:tcW w:w="840" w:type="dxa"/>
          </w:tcPr>
          <w:p>
            <w:pPr>
              <w:jc w:val="center"/>
              <w:rPr>
                <w:rFonts w:hint="default" w:eastAsia="宋体"/>
                <w:vertAlign w:val="baseline"/>
                <w:lang w:val="en-US" w:eastAsia="zh-CN"/>
              </w:rPr>
            </w:pPr>
            <w:r>
              <w:rPr>
                <w:rFonts w:hint="eastAsia"/>
                <w:vertAlign w:val="baseline"/>
                <w:lang w:val="en-US" w:eastAsia="zh-CN"/>
              </w:rPr>
              <w:t>一般公共预算</w:t>
            </w:r>
          </w:p>
        </w:tc>
        <w:tc>
          <w:tcPr>
            <w:tcW w:w="600" w:type="dxa"/>
            <w:vAlign w:val="top"/>
          </w:tcPr>
          <w:p>
            <w:pPr>
              <w:rPr>
                <w:rFonts w:hint="default" w:ascii="Calibri" w:hAnsi="Calibri" w:eastAsia="宋体" w:cs="Calibri"/>
                <w:kern w:val="2"/>
                <w:sz w:val="20"/>
                <w:szCs w:val="20"/>
                <w:vertAlign w:val="baseline"/>
                <w:lang w:val="en-US" w:eastAsia="zh-CN" w:bidi="ar-SA"/>
              </w:rPr>
            </w:pPr>
            <w:r>
              <w:rPr>
                <w:rFonts w:hint="eastAsia" w:cs="Calibri"/>
                <w:kern w:val="2"/>
                <w:sz w:val="20"/>
                <w:szCs w:val="20"/>
                <w:vertAlign w:val="baseline"/>
                <w:lang w:val="en-US" w:eastAsia="zh-CN" w:bidi="ar-SA"/>
              </w:rPr>
              <w:t>政府性基金预算</w:t>
            </w:r>
          </w:p>
        </w:tc>
        <w:tc>
          <w:tcPr>
            <w:tcW w:w="615" w:type="dxa"/>
          </w:tcPr>
          <w:p>
            <w:pPr>
              <w:rPr>
                <w:rFonts w:hint="default" w:eastAsia="宋体"/>
                <w:vertAlign w:val="baseline"/>
                <w:lang w:val="en-US" w:eastAsia="zh-CN"/>
              </w:rPr>
            </w:pPr>
            <w:r>
              <w:rPr>
                <w:rFonts w:hint="eastAsia"/>
                <w:vertAlign w:val="baseline"/>
                <w:lang w:val="en-US" w:eastAsia="zh-CN"/>
              </w:rPr>
              <w:t>国有资本经营预算</w:t>
            </w:r>
          </w:p>
        </w:tc>
        <w:tc>
          <w:tcPr>
            <w:tcW w:w="795" w:type="dxa"/>
          </w:tcPr>
          <w:p>
            <w:pPr>
              <w:jc w:val="center"/>
              <w:rPr>
                <w:rFonts w:hint="default" w:eastAsia="宋体"/>
                <w:vertAlign w:val="baseline"/>
                <w:lang w:val="en-US" w:eastAsia="zh-CN"/>
              </w:rPr>
            </w:pPr>
            <w:r>
              <w:rPr>
                <w:rFonts w:hint="eastAsia"/>
                <w:vertAlign w:val="baseline"/>
                <w:lang w:val="en-US" w:eastAsia="zh-CN"/>
              </w:rPr>
              <w:t>一般公共预算</w:t>
            </w:r>
          </w:p>
        </w:tc>
        <w:tc>
          <w:tcPr>
            <w:tcW w:w="510" w:type="dxa"/>
          </w:tcPr>
          <w:p>
            <w:pPr>
              <w:jc w:val="center"/>
              <w:rPr>
                <w:rFonts w:hint="default" w:eastAsia="宋体"/>
                <w:vertAlign w:val="baseline"/>
                <w:lang w:val="en-US" w:eastAsia="zh-CN"/>
              </w:rPr>
            </w:pPr>
            <w:r>
              <w:rPr>
                <w:rFonts w:hint="eastAsia"/>
                <w:vertAlign w:val="baseline"/>
                <w:lang w:val="en-US" w:eastAsia="zh-CN"/>
              </w:rPr>
              <w:t>政府性基金预算</w:t>
            </w:r>
          </w:p>
        </w:tc>
        <w:tc>
          <w:tcPr>
            <w:tcW w:w="510" w:type="dxa"/>
          </w:tcPr>
          <w:p>
            <w:pPr>
              <w:rPr>
                <w:rFonts w:hint="default" w:eastAsia="宋体"/>
                <w:vertAlign w:val="baseline"/>
                <w:lang w:val="en-US" w:eastAsia="zh-CN"/>
              </w:rPr>
            </w:pPr>
            <w:r>
              <w:rPr>
                <w:rFonts w:hint="eastAsia"/>
                <w:vertAlign w:val="baseline"/>
                <w:lang w:val="en-US" w:eastAsia="zh-CN"/>
              </w:rPr>
              <w:t>国有资本经营预算</w:t>
            </w:r>
          </w:p>
        </w:tc>
        <w:tc>
          <w:tcPr>
            <w:tcW w:w="555" w:type="dxa"/>
            <w:vMerge w:val="continue"/>
          </w:tcPr>
          <w:p>
            <w:pPr>
              <w:rPr>
                <w:vertAlign w:val="baseline"/>
              </w:rPr>
            </w:pPr>
          </w:p>
        </w:tc>
        <w:tc>
          <w:tcPr>
            <w:tcW w:w="540" w:type="dxa"/>
            <w:vMerge w:val="continue"/>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1</w:t>
            </w:r>
          </w:p>
        </w:tc>
        <w:tc>
          <w:tcPr>
            <w:tcW w:w="539" w:type="dxa"/>
          </w:tcPr>
          <w:p>
            <w:pPr>
              <w:jc w:val="center"/>
              <w:rPr>
                <w:rFonts w:hint="eastAsia" w:eastAsia="宋体"/>
                <w:sz w:val="20"/>
                <w:szCs w:val="20"/>
                <w:vertAlign w:val="baseline"/>
                <w:lang w:val="en-US" w:eastAsia="zh-CN"/>
              </w:rPr>
            </w:pPr>
            <w:r>
              <w:rPr>
                <w:rFonts w:hint="eastAsia"/>
                <w:sz w:val="20"/>
                <w:szCs w:val="20"/>
                <w:vertAlign w:val="baseline"/>
                <w:lang w:val="en-US" w:eastAsia="zh-CN"/>
              </w:rPr>
              <w:t>合计</w:t>
            </w:r>
          </w:p>
        </w:tc>
        <w:tc>
          <w:tcPr>
            <w:tcW w:w="810" w:type="dxa"/>
          </w:tcPr>
          <w:p>
            <w:pPr>
              <w:rPr>
                <w:sz w:val="20"/>
                <w:szCs w:val="20"/>
                <w:vertAlign w:val="baseline"/>
              </w:rPr>
            </w:pPr>
          </w:p>
        </w:tc>
        <w:tc>
          <w:tcPr>
            <w:tcW w:w="690" w:type="dxa"/>
          </w:tcPr>
          <w:p>
            <w:pPr>
              <w:rPr>
                <w:sz w:val="20"/>
                <w:szCs w:val="20"/>
                <w:vertAlign w:val="baseline"/>
              </w:rPr>
            </w:pPr>
          </w:p>
        </w:tc>
        <w:tc>
          <w:tcPr>
            <w:tcW w:w="870" w:type="dxa"/>
          </w:tcPr>
          <w:p>
            <w:pPr>
              <w:rPr>
                <w:sz w:val="20"/>
                <w:szCs w:val="20"/>
                <w:vertAlign w:val="baseline"/>
              </w:rPr>
            </w:pPr>
          </w:p>
        </w:tc>
        <w:tc>
          <w:tcPr>
            <w:tcW w:w="825" w:type="dxa"/>
          </w:tcPr>
          <w:p>
            <w:pPr>
              <w:rPr>
                <w:rFonts w:hint="default" w:eastAsia="宋体"/>
                <w:sz w:val="20"/>
                <w:szCs w:val="20"/>
                <w:vertAlign w:val="baseline"/>
                <w:lang w:val="en-US" w:eastAsia="zh-CN"/>
              </w:rPr>
            </w:pPr>
            <w:r>
              <w:rPr>
                <w:rFonts w:hint="eastAsia"/>
                <w:sz w:val="20"/>
                <w:szCs w:val="20"/>
                <w:vertAlign w:val="baseline"/>
                <w:lang w:val="en-US" w:eastAsia="zh-CN"/>
              </w:rPr>
              <w:t>333.58</w:t>
            </w:r>
          </w:p>
        </w:tc>
        <w:tc>
          <w:tcPr>
            <w:tcW w:w="840" w:type="dxa"/>
          </w:tcPr>
          <w:p>
            <w:pPr>
              <w:rPr>
                <w:rFonts w:hint="default" w:eastAsia="宋体"/>
                <w:sz w:val="20"/>
                <w:szCs w:val="20"/>
                <w:vertAlign w:val="baseline"/>
                <w:lang w:val="en-US" w:eastAsia="zh-CN"/>
              </w:rPr>
            </w:pPr>
            <w:r>
              <w:rPr>
                <w:rFonts w:hint="eastAsia"/>
                <w:sz w:val="20"/>
                <w:szCs w:val="20"/>
                <w:vertAlign w:val="baseline"/>
                <w:lang w:val="en-US" w:eastAsia="zh-CN"/>
              </w:rPr>
              <w:t>170.58</w:t>
            </w:r>
          </w:p>
        </w:tc>
        <w:tc>
          <w:tcPr>
            <w:tcW w:w="600"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615"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795" w:type="dxa"/>
          </w:tcPr>
          <w:p>
            <w:pPr>
              <w:rPr>
                <w:rFonts w:hint="default" w:eastAsia="宋体"/>
                <w:sz w:val="20"/>
                <w:szCs w:val="20"/>
                <w:vertAlign w:val="baseline"/>
                <w:lang w:val="en-US" w:eastAsia="zh-CN"/>
              </w:rPr>
            </w:pPr>
            <w:r>
              <w:rPr>
                <w:rFonts w:hint="eastAsia"/>
                <w:sz w:val="20"/>
                <w:szCs w:val="20"/>
                <w:vertAlign w:val="baseline"/>
                <w:lang w:val="en-US" w:eastAsia="zh-CN"/>
              </w:rPr>
              <w:t>163.00</w:t>
            </w:r>
          </w:p>
        </w:tc>
        <w:tc>
          <w:tcPr>
            <w:tcW w:w="51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1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55"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4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2</w:t>
            </w:r>
          </w:p>
        </w:tc>
        <w:tc>
          <w:tcPr>
            <w:tcW w:w="539" w:type="dxa"/>
          </w:tcPr>
          <w:p>
            <w:pPr>
              <w:rPr>
                <w:sz w:val="20"/>
                <w:szCs w:val="20"/>
                <w:vertAlign w:val="baseline"/>
              </w:rPr>
            </w:pPr>
          </w:p>
        </w:tc>
        <w:tc>
          <w:tcPr>
            <w:tcW w:w="810" w:type="dxa"/>
          </w:tcPr>
          <w:p>
            <w:pPr>
              <w:rPr>
                <w:sz w:val="20"/>
                <w:szCs w:val="20"/>
                <w:vertAlign w:val="baseline"/>
              </w:rPr>
            </w:pPr>
          </w:p>
        </w:tc>
        <w:tc>
          <w:tcPr>
            <w:tcW w:w="690" w:type="dxa"/>
          </w:tcPr>
          <w:p>
            <w:pPr>
              <w:rPr>
                <w:sz w:val="20"/>
                <w:szCs w:val="20"/>
                <w:vertAlign w:val="baseline"/>
              </w:rPr>
            </w:pPr>
          </w:p>
        </w:tc>
        <w:tc>
          <w:tcPr>
            <w:tcW w:w="870" w:type="dxa"/>
          </w:tcPr>
          <w:p>
            <w:pPr>
              <w:rPr>
                <w:sz w:val="20"/>
                <w:szCs w:val="20"/>
                <w:vertAlign w:val="baseline"/>
              </w:rPr>
            </w:pPr>
          </w:p>
        </w:tc>
        <w:tc>
          <w:tcPr>
            <w:tcW w:w="825" w:type="dxa"/>
          </w:tcPr>
          <w:p>
            <w:pPr>
              <w:rPr>
                <w:rFonts w:hint="default" w:eastAsia="宋体"/>
                <w:sz w:val="20"/>
                <w:szCs w:val="20"/>
                <w:vertAlign w:val="baseline"/>
                <w:lang w:val="en-US" w:eastAsia="zh-CN"/>
              </w:rPr>
            </w:pPr>
            <w:r>
              <w:rPr>
                <w:rFonts w:hint="eastAsia"/>
                <w:sz w:val="20"/>
                <w:szCs w:val="20"/>
                <w:vertAlign w:val="baseline"/>
                <w:lang w:val="en-US" w:eastAsia="zh-CN"/>
              </w:rPr>
              <w:t>163.00</w:t>
            </w:r>
          </w:p>
        </w:tc>
        <w:tc>
          <w:tcPr>
            <w:tcW w:w="840"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600"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615"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795" w:type="dxa"/>
          </w:tcPr>
          <w:p>
            <w:pPr>
              <w:rPr>
                <w:rFonts w:hint="default"/>
                <w:sz w:val="20"/>
                <w:szCs w:val="20"/>
                <w:vertAlign w:val="baseline"/>
                <w:lang w:val="en-US" w:eastAsia="zh-CN"/>
              </w:rPr>
            </w:pPr>
            <w:r>
              <w:rPr>
                <w:rFonts w:hint="eastAsia"/>
                <w:sz w:val="20"/>
                <w:szCs w:val="20"/>
                <w:vertAlign w:val="baseline"/>
                <w:lang w:val="en-US" w:eastAsia="zh-CN"/>
              </w:rPr>
              <w:t>163.00</w:t>
            </w:r>
          </w:p>
        </w:tc>
        <w:tc>
          <w:tcPr>
            <w:tcW w:w="51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10" w:type="dxa"/>
            <w:vAlign w:val="top"/>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55" w:type="dxa"/>
            <w:vAlign w:val="top"/>
          </w:tcPr>
          <w:p>
            <w:pPr>
              <w:rPr>
                <w:sz w:val="16"/>
                <w:szCs w:val="16"/>
                <w:vertAlign w:val="baseline"/>
              </w:rPr>
            </w:pPr>
            <w:r>
              <w:rPr>
                <w:rFonts w:hint="eastAsia"/>
                <w:sz w:val="16"/>
                <w:szCs w:val="16"/>
                <w:vertAlign w:val="baseline"/>
                <w:lang w:val="en-US" w:eastAsia="zh-CN"/>
              </w:rPr>
              <w:t>0.00</w:t>
            </w:r>
          </w:p>
        </w:tc>
        <w:tc>
          <w:tcPr>
            <w:tcW w:w="540" w:type="dxa"/>
            <w:vAlign w:val="top"/>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3" w:type="dxa"/>
          </w:tcPr>
          <w:p>
            <w:pPr>
              <w:jc w:val="center"/>
              <w:rPr>
                <w:rFonts w:hint="eastAsia" w:eastAsia="宋体"/>
                <w:vertAlign w:val="baseline"/>
                <w:lang w:val="en-US" w:eastAsia="zh-CN"/>
              </w:rPr>
            </w:pPr>
            <w:r>
              <w:rPr>
                <w:rFonts w:hint="eastAsia"/>
                <w:vertAlign w:val="baseline"/>
                <w:lang w:val="en-US" w:eastAsia="zh-CN"/>
              </w:rPr>
              <w:t>3</w:t>
            </w:r>
          </w:p>
        </w:tc>
        <w:tc>
          <w:tcPr>
            <w:tcW w:w="539" w:type="dxa"/>
          </w:tcPr>
          <w:p>
            <w:pPr>
              <w:rPr>
                <w:sz w:val="20"/>
                <w:szCs w:val="20"/>
                <w:vertAlign w:val="baseline"/>
              </w:rPr>
            </w:pPr>
          </w:p>
        </w:tc>
        <w:tc>
          <w:tcPr>
            <w:tcW w:w="810" w:type="dxa"/>
          </w:tcPr>
          <w:p>
            <w:pPr>
              <w:jc w:val="center"/>
              <w:rPr>
                <w:rFonts w:hint="default" w:eastAsia="宋体"/>
                <w:sz w:val="20"/>
                <w:szCs w:val="20"/>
                <w:vertAlign w:val="baseline"/>
                <w:lang w:val="en-US" w:eastAsia="zh-CN"/>
              </w:rPr>
            </w:pPr>
            <w:r>
              <w:rPr>
                <w:rFonts w:hint="eastAsia" w:ascii="Arial" w:hAnsi="Arial" w:cs="Arial"/>
                <w:i w:val="0"/>
                <w:color w:val="000000"/>
                <w:sz w:val="20"/>
                <w:szCs w:val="20"/>
                <w:u w:val="none"/>
                <w:lang w:val="en-US" w:eastAsia="zh-CN"/>
              </w:rPr>
              <w:t>级涉密项目1</w:t>
            </w:r>
          </w:p>
        </w:tc>
        <w:tc>
          <w:tcPr>
            <w:tcW w:w="690" w:type="dxa"/>
          </w:tcPr>
          <w:p>
            <w:pPr>
              <w:rPr>
                <w:sz w:val="20"/>
                <w:szCs w:val="20"/>
                <w:vertAlign w:val="baseline"/>
              </w:rPr>
            </w:pPr>
          </w:p>
        </w:tc>
        <w:tc>
          <w:tcPr>
            <w:tcW w:w="870" w:type="dxa"/>
          </w:tcPr>
          <w:p>
            <w:pPr>
              <w:rPr>
                <w:sz w:val="20"/>
                <w:szCs w:val="20"/>
                <w:vertAlign w:val="baseline"/>
              </w:rPr>
            </w:pPr>
          </w:p>
        </w:tc>
        <w:tc>
          <w:tcPr>
            <w:tcW w:w="825" w:type="dxa"/>
          </w:tcPr>
          <w:p>
            <w:pPr>
              <w:rPr>
                <w:rFonts w:hint="default" w:eastAsia="宋体"/>
                <w:sz w:val="20"/>
                <w:szCs w:val="20"/>
                <w:vertAlign w:val="baseline"/>
                <w:lang w:val="en-US" w:eastAsia="zh-CN"/>
              </w:rPr>
            </w:pPr>
            <w:r>
              <w:rPr>
                <w:rFonts w:hint="eastAsia"/>
                <w:sz w:val="20"/>
                <w:szCs w:val="20"/>
                <w:vertAlign w:val="baseline"/>
                <w:lang w:val="en-US" w:eastAsia="zh-CN"/>
              </w:rPr>
              <w:t>162.00</w:t>
            </w:r>
          </w:p>
        </w:tc>
        <w:tc>
          <w:tcPr>
            <w:tcW w:w="840"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600"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615" w:type="dxa"/>
          </w:tcPr>
          <w:p>
            <w:pPr>
              <w:rPr>
                <w:rFonts w:hint="default" w:eastAsia="宋体"/>
                <w:sz w:val="20"/>
                <w:szCs w:val="20"/>
                <w:vertAlign w:val="baseline"/>
                <w:lang w:val="en-US" w:eastAsia="zh-CN"/>
              </w:rPr>
            </w:pPr>
            <w:r>
              <w:rPr>
                <w:rFonts w:hint="eastAsia"/>
                <w:sz w:val="20"/>
                <w:szCs w:val="20"/>
                <w:vertAlign w:val="baseline"/>
                <w:lang w:val="en-US" w:eastAsia="zh-CN"/>
              </w:rPr>
              <w:t>0.00</w:t>
            </w:r>
          </w:p>
        </w:tc>
        <w:tc>
          <w:tcPr>
            <w:tcW w:w="795" w:type="dxa"/>
          </w:tcPr>
          <w:p>
            <w:pPr>
              <w:rPr>
                <w:rFonts w:hint="default" w:eastAsia="宋体"/>
                <w:sz w:val="20"/>
                <w:szCs w:val="20"/>
                <w:vertAlign w:val="baseline"/>
                <w:lang w:val="en-US" w:eastAsia="zh-CN"/>
              </w:rPr>
            </w:pPr>
            <w:r>
              <w:rPr>
                <w:rFonts w:hint="eastAsia"/>
                <w:sz w:val="20"/>
                <w:szCs w:val="20"/>
                <w:vertAlign w:val="baseline"/>
                <w:lang w:val="en-US" w:eastAsia="zh-CN"/>
              </w:rPr>
              <w:t>162.00</w:t>
            </w:r>
          </w:p>
        </w:tc>
        <w:tc>
          <w:tcPr>
            <w:tcW w:w="51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10" w:type="dxa"/>
            <w:vAlign w:val="top"/>
          </w:tcPr>
          <w:p>
            <w:pPr>
              <w:rPr>
                <w:sz w:val="16"/>
                <w:szCs w:val="16"/>
                <w:vertAlign w:val="baseline"/>
              </w:rPr>
            </w:pPr>
            <w:r>
              <w:rPr>
                <w:rFonts w:hint="eastAsia"/>
                <w:sz w:val="16"/>
                <w:szCs w:val="16"/>
                <w:vertAlign w:val="baseline"/>
                <w:lang w:val="en-US" w:eastAsia="zh-CN"/>
              </w:rPr>
              <w:t>0.00</w:t>
            </w:r>
          </w:p>
        </w:tc>
        <w:tc>
          <w:tcPr>
            <w:tcW w:w="555" w:type="dxa"/>
            <w:vAlign w:val="top"/>
          </w:tcPr>
          <w:p>
            <w:pPr>
              <w:rPr>
                <w:sz w:val="16"/>
                <w:szCs w:val="16"/>
                <w:vertAlign w:val="baseline"/>
              </w:rPr>
            </w:pPr>
            <w:r>
              <w:rPr>
                <w:rFonts w:hint="eastAsia"/>
                <w:sz w:val="16"/>
                <w:szCs w:val="16"/>
                <w:vertAlign w:val="baseline"/>
                <w:lang w:val="en-US" w:eastAsia="zh-CN"/>
              </w:rPr>
              <w:t>0.00</w:t>
            </w:r>
          </w:p>
        </w:tc>
        <w:tc>
          <w:tcPr>
            <w:tcW w:w="540" w:type="dxa"/>
            <w:vAlign w:val="top"/>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4</w:t>
            </w:r>
          </w:p>
        </w:tc>
        <w:tc>
          <w:tcPr>
            <w:tcW w:w="539" w:type="dxa"/>
          </w:tcPr>
          <w:p>
            <w:pPr>
              <w:rPr>
                <w:vertAlign w:val="baseline"/>
              </w:rPr>
            </w:pPr>
          </w:p>
        </w:tc>
        <w:tc>
          <w:tcPr>
            <w:tcW w:w="810" w:type="dxa"/>
          </w:tcPr>
          <w:p>
            <w:pPr>
              <w:rPr>
                <w:vertAlign w:val="baseline"/>
              </w:rPr>
            </w:pPr>
          </w:p>
        </w:tc>
        <w:tc>
          <w:tcPr>
            <w:tcW w:w="690" w:type="dxa"/>
          </w:tcPr>
          <w:p>
            <w:pPr>
              <w:jc w:val="center"/>
              <w:rPr>
                <w:rFonts w:hint="default" w:eastAsia="宋体"/>
                <w:vertAlign w:val="baseline"/>
                <w:lang w:val="en-US" w:eastAsia="zh-CN"/>
              </w:rPr>
            </w:pPr>
            <w:r>
              <w:rPr>
                <w:rFonts w:hint="eastAsia" w:ascii="Arial" w:hAnsi="Arial" w:cs="Arial"/>
                <w:i w:val="0"/>
                <w:color w:val="000000"/>
                <w:sz w:val="20"/>
                <w:szCs w:val="20"/>
                <w:u w:val="none"/>
                <w:lang w:val="en-US" w:eastAsia="zh-CN"/>
              </w:rPr>
              <w:t>涉密项目1</w:t>
            </w:r>
          </w:p>
        </w:tc>
        <w:tc>
          <w:tcPr>
            <w:tcW w:w="870" w:type="dxa"/>
          </w:tcPr>
          <w:p>
            <w:pPr>
              <w:jc w:val="center"/>
              <w:rPr>
                <w:rFonts w:hint="default" w:eastAsia="宋体"/>
                <w:vertAlign w:val="baseline"/>
                <w:lang w:val="en-US" w:eastAsia="zh-CN"/>
              </w:rPr>
            </w:pPr>
            <w:r>
              <w:rPr>
                <w:rFonts w:hint="eastAsia"/>
                <w:vertAlign w:val="baseline"/>
                <w:lang w:val="en-US" w:eastAsia="zh-CN"/>
              </w:rPr>
              <w:t>长春市军队离休退休干部花园路休养所</w:t>
            </w:r>
          </w:p>
        </w:tc>
        <w:tc>
          <w:tcPr>
            <w:tcW w:w="825" w:type="dxa"/>
          </w:tcPr>
          <w:p>
            <w:pPr>
              <w:rPr>
                <w:rFonts w:hint="default" w:eastAsia="宋体"/>
                <w:vertAlign w:val="baseline"/>
                <w:lang w:val="en-US" w:eastAsia="zh-CN"/>
              </w:rPr>
            </w:pPr>
            <w:r>
              <w:rPr>
                <w:rFonts w:hint="eastAsia"/>
                <w:vertAlign w:val="baseline"/>
                <w:lang w:val="en-US" w:eastAsia="zh-CN"/>
              </w:rPr>
              <w:t>162.00</w:t>
            </w:r>
          </w:p>
        </w:tc>
        <w:tc>
          <w:tcPr>
            <w:tcW w:w="840" w:type="dxa"/>
          </w:tcPr>
          <w:p>
            <w:pPr>
              <w:rPr>
                <w:rFonts w:hint="default" w:eastAsia="宋体"/>
                <w:vertAlign w:val="baseline"/>
                <w:lang w:val="en-US" w:eastAsia="zh-CN"/>
              </w:rPr>
            </w:pPr>
            <w:r>
              <w:rPr>
                <w:rFonts w:hint="eastAsia"/>
                <w:vertAlign w:val="baseline"/>
                <w:lang w:val="en-US" w:eastAsia="zh-CN"/>
              </w:rPr>
              <w:t>0.00</w:t>
            </w:r>
          </w:p>
        </w:tc>
        <w:tc>
          <w:tcPr>
            <w:tcW w:w="600" w:type="dxa"/>
          </w:tcPr>
          <w:p>
            <w:pPr>
              <w:rPr>
                <w:rFonts w:hint="default" w:eastAsia="宋体"/>
                <w:vertAlign w:val="baseline"/>
                <w:lang w:val="en-US" w:eastAsia="zh-CN"/>
              </w:rPr>
            </w:pPr>
            <w:r>
              <w:rPr>
                <w:rFonts w:hint="eastAsia"/>
                <w:vertAlign w:val="baseline"/>
                <w:lang w:val="en-US" w:eastAsia="zh-CN"/>
              </w:rPr>
              <w:t>0.00</w:t>
            </w:r>
          </w:p>
        </w:tc>
        <w:tc>
          <w:tcPr>
            <w:tcW w:w="615" w:type="dxa"/>
          </w:tcPr>
          <w:p>
            <w:pPr>
              <w:rPr>
                <w:rFonts w:hint="default" w:eastAsia="宋体"/>
                <w:vertAlign w:val="baseline"/>
                <w:lang w:val="en-US" w:eastAsia="zh-CN"/>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sz w:val="20"/>
                <w:szCs w:val="20"/>
                <w:vertAlign w:val="baseline"/>
                <w:lang w:val="en-US" w:eastAsia="zh-CN"/>
              </w:rPr>
              <w:t>162.00</w:t>
            </w:r>
          </w:p>
        </w:tc>
        <w:tc>
          <w:tcPr>
            <w:tcW w:w="51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10" w:type="dxa"/>
            <w:vAlign w:val="top"/>
          </w:tcPr>
          <w:p>
            <w:pPr>
              <w:rPr>
                <w:sz w:val="16"/>
                <w:szCs w:val="16"/>
                <w:vertAlign w:val="baseline"/>
              </w:rPr>
            </w:pPr>
            <w:r>
              <w:rPr>
                <w:rFonts w:hint="eastAsia"/>
                <w:sz w:val="16"/>
                <w:szCs w:val="16"/>
                <w:vertAlign w:val="baseline"/>
                <w:lang w:val="en-US" w:eastAsia="zh-CN"/>
              </w:rPr>
              <w:t>0.00</w:t>
            </w:r>
          </w:p>
        </w:tc>
        <w:tc>
          <w:tcPr>
            <w:tcW w:w="555" w:type="dxa"/>
            <w:vAlign w:val="top"/>
          </w:tcPr>
          <w:p>
            <w:pPr>
              <w:rPr>
                <w:sz w:val="16"/>
                <w:szCs w:val="16"/>
                <w:vertAlign w:val="baseline"/>
              </w:rPr>
            </w:pPr>
            <w:r>
              <w:rPr>
                <w:rFonts w:hint="eastAsia"/>
                <w:sz w:val="16"/>
                <w:szCs w:val="16"/>
                <w:vertAlign w:val="baseline"/>
                <w:lang w:val="en-US" w:eastAsia="zh-CN"/>
              </w:rPr>
              <w:t>0.00</w:t>
            </w:r>
          </w:p>
        </w:tc>
        <w:tc>
          <w:tcPr>
            <w:tcW w:w="540" w:type="dxa"/>
            <w:vAlign w:val="top"/>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5</w:t>
            </w:r>
          </w:p>
        </w:tc>
        <w:tc>
          <w:tcPr>
            <w:tcW w:w="539" w:type="dxa"/>
          </w:tcPr>
          <w:p>
            <w:pPr>
              <w:rPr>
                <w:vertAlign w:val="baseline"/>
              </w:rPr>
            </w:pPr>
          </w:p>
        </w:tc>
        <w:tc>
          <w:tcPr>
            <w:tcW w:w="810" w:type="dxa"/>
          </w:tcPr>
          <w:p>
            <w:pPr>
              <w:jc w:val="center"/>
              <w:rPr>
                <w:rFonts w:hint="default" w:eastAsia="宋体"/>
                <w:vertAlign w:val="baseline"/>
                <w:lang w:val="en-US" w:eastAsia="zh-CN"/>
              </w:rPr>
            </w:pPr>
            <w:r>
              <w:rPr>
                <w:rFonts w:hint="eastAsia" w:ascii="Arial" w:hAnsi="Arial" w:cs="Arial"/>
                <w:i w:val="0"/>
                <w:color w:val="000000"/>
                <w:sz w:val="20"/>
                <w:szCs w:val="20"/>
                <w:u w:val="none"/>
                <w:lang w:val="en-US" w:eastAsia="zh-CN"/>
              </w:rPr>
              <w:t>部分市直部门单位新能源汽车定购经费</w:t>
            </w:r>
          </w:p>
        </w:tc>
        <w:tc>
          <w:tcPr>
            <w:tcW w:w="690" w:type="dxa"/>
          </w:tcPr>
          <w:p>
            <w:pPr>
              <w:rPr>
                <w:vertAlign w:val="baseline"/>
              </w:rPr>
            </w:pPr>
          </w:p>
        </w:tc>
        <w:tc>
          <w:tcPr>
            <w:tcW w:w="870" w:type="dxa"/>
          </w:tcPr>
          <w:p>
            <w:pPr>
              <w:rPr>
                <w:vertAlign w:val="baseline"/>
              </w:rPr>
            </w:pPr>
          </w:p>
        </w:tc>
        <w:tc>
          <w:tcPr>
            <w:tcW w:w="825" w:type="dxa"/>
          </w:tcPr>
          <w:p>
            <w:pPr>
              <w:rPr>
                <w:rFonts w:hint="default" w:eastAsia="宋体"/>
                <w:vertAlign w:val="baseline"/>
                <w:lang w:val="en-US" w:eastAsia="zh-CN"/>
              </w:rPr>
            </w:pPr>
            <w:r>
              <w:rPr>
                <w:rFonts w:hint="eastAsia"/>
                <w:vertAlign w:val="baseline"/>
                <w:lang w:val="en-US" w:eastAsia="zh-CN"/>
              </w:rPr>
              <w:t>1.00</w:t>
            </w:r>
          </w:p>
        </w:tc>
        <w:tc>
          <w:tcPr>
            <w:tcW w:w="840" w:type="dxa"/>
          </w:tcPr>
          <w:p>
            <w:pPr>
              <w:rPr>
                <w:rFonts w:hint="default" w:eastAsia="宋体"/>
                <w:vertAlign w:val="baseline"/>
                <w:lang w:val="en-US" w:eastAsia="zh-CN"/>
              </w:rPr>
            </w:pPr>
            <w:r>
              <w:rPr>
                <w:rFonts w:hint="eastAsia"/>
                <w:vertAlign w:val="baseline"/>
                <w:lang w:val="en-US" w:eastAsia="zh-CN"/>
              </w:rPr>
              <w:t>0.00</w:t>
            </w:r>
          </w:p>
        </w:tc>
        <w:tc>
          <w:tcPr>
            <w:tcW w:w="600" w:type="dxa"/>
          </w:tcPr>
          <w:p>
            <w:pPr>
              <w:rPr>
                <w:rFonts w:hint="default" w:eastAsia="宋体"/>
                <w:vertAlign w:val="baseline"/>
                <w:lang w:val="en-US" w:eastAsia="zh-CN"/>
              </w:rPr>
            </w:pPr>
            <w:r>
              <w:rPr>
                <w:rFonts w:hint="eastAsia"/>
                <w:vertAlign w:val="baseline"/>
                <w:lang w:val="en-US" w:eastAsia="zh-CN"/>
              </w:rPr>
              <w:t>0.00</w:t>
            </w:r>
          </w:p>
        </w:tc>
        <w:tc>
          <w:tcPr>
            <w:tcW w:w="615" w:type="dxa"/>
          </w:tcPr>
          <w:p>
            <w:pPr>
              <w:rPr>
                <w:rFonts w:hint="default" w:eastAsia="宋体"/>
                <w:vertAlign w:val="baseline"/>
                <w:lang w:val="en-US" w:eastAsia="zh-CN"/>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vertAlign w:val="baseline"/>
                <w:lang w:val="en-US" w:eastAsia="zh-CN"/>
              </w:rPr>
              <w:t>1.00</w:t>
            </w:r>
          </w:p>
        </w:tc>
        <w:tc>
          <w:tcPr>
            <w:tcW w:w="510" w:type="dxa"/>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10" w:type="dxa"/>
            <w:vAlign w:val="top"/>
          </w:tcPr>
          <w:p>
            <w:pPr>
              <w:rPr>
                <w:rFonts w:hint="default" w:eastAsia="宋体"/>
                <w:sz w:val="16"/>
                <w:szCs w:val="16"/>
                <w:vertAlign w:val="baseline"/>
                <w:lang w:val="en-US" w:eastAsia="zh-CN"/>
              </w:rPr>
            </w:pPr>
            <w:r>
              <w:rPr>
                <w:rFonts w:hint="eastAsia"/>
                <w:sz w:val="16"/>
                <w:szCs w:val="16"/>
                <w:vertAlign w:val="baseline"/>
                <w:lang w:val="en-US" w:eastAsia="zh-CN"/>
              </w:rPr>
              <w:t>0.00</w:t>
            </w:r>
          </w:p>
        </w:tc>
        <w:tc>
          <w:tcPr>
            <w:tcW w:w="555" w:type="dxa"/>
            <w:vAlign w:val="top"/>
          </w:tcPr>
          <w:p>
            <w:pPr>
              <w:rPr>
                <w:sz w:val="16"/>
                <w:szCs w:val="16"/>
                <w:vertAlign w:val="baseline"/>
              </w:rPr>
            </w:pPr>
            <w:r>
              <w:rPr>
                <w:rFonts w:hint="eastAsia"/>
                <w:sz w:val="16"/>
                <w:szCs w:val="16"/>
                <w:vertAlign w:val="baseline"/>
                <w:lang w:val="en-US" w:eastAsia="zh-CN"/>
              </w:rPr>
              <w:t>0.00</w:t>
            </w:r>
          </w:p>
        </w:tc>
        <w:tc>
          <w:tcPr>
            <w:tcW w:w="540" w:type="dxa"/>
            <w:vAlign w:val="top"/>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6</w:t>
            </w:r>
          </w:p>
        </w:tc>
        <w:tc>
          <w:tcPr>
            <w:tcW w:w="539" w:type="dxa"/>
          </w:tcPr>
          <w:p>
            <w:pPr>
              <w:rPr>
                <w:vertAlign w:val="baseline"/>
              </w:rPr>
            </w:pPr>
          </w:p>
        </w:tc>
        <w:tc>
          <w:tcPr>
            <w:tcW w:w="810" w:type="dxa"/>
          </w:tcPr>
          <w:p>
            <w:pPr>
              <w:rPr>
                <w:vertAlign w:val="baseline"/>
              </w:rPr>
            </w:pPr>
          </w:p>
        </w:tc>
        <w:tc>
          <w:tcPr>
            <w:tcW w:w="690" w:type="dxa"/>
          </w:tcPr>
          <w:p>
            <w:pPr>
              <w:jc w:val="center"/>
              <w:rPr>
                <w:rFonts w:hint="default" w:eastAsia="宋体"/>
                <w:vertAlign w:val="baseline"/>
                <w:lang w:val="en-US" w:eastAsia="zh-CN"/>
              </w:rPr>
            </w:pPr>
            <w:r>
              <w:rPr>
                <w:rFonts w:hint="eastAsia" w:ascii="Arial" w:hAnsi="Arial" w:cs="Arial"/>
                <w:i w:val="0"/>
                <w:color w:val="000000"/>
                <w:sz w:val="20"/>
                <w:szCs w:val="20"/>
                <w:u w:val="none"/>
                <w:lang w:val="en-US" w:eastAsia="zh-CN"/>
              </w:rPr>
              <w:t>新能源车定购经费</w:t>
            </w:r>
          </w:p>
        </w:tc>
        <w:tc>
          <w:tcPr>
            <w:tcW w:w="870" w:type="dxa"/>
          </w:tcPr>
          <w:p>
            <w:pPr>
              <w:jc w:val="center"/>
              <w:rPr>
                <w:vertAlign w:val="baseline"/>
              </w:rPr>
            </w:pPr>
            <w:r>
              <w:rPr>
                <w:rFonts w:hint="eastAsia"/>
                <w:vertAlign w:val="baseline"/>
                <w:lang w:val="en-US" w:eastAsia="zh-CN"/>
              </w:rPr>
              <w:t>长春市军队离休退休干部花园路休养所</w:t>
            </w:r>
          </w:p>
        </w:tc>
        <w:tc>
          <w:tcPr>
            <w:tcW w:w="825" w:type="dxa"/>
          </w:tcPr>
          <w:p>
            <w:pPr>
              <w:rPr>
                <w:rFonts w:hint="default" w:eastAsia="宋体"/>
                <w:vertAlign w:val="baseline"/>
                <w:lang w:val="en-US" w:eastAsia="zh-CN"/>
              </w:rPr>
            </w:pPr>
            <w:r>
              <w:rPr>
                <w:rFonts w:hint="eastAsia"/>
                <w:vertAlign w:val="baseline"/>
                <w:lang w:val="en-US" w:eastAsia="zh-CN"/>
              </w:rPr>
              <w:t>1.00</w:t>
            </w:r>
          </w:p>
        </w:tc>
        <w:tc>
          <w:tcPr>
            <w:tcW w:w="840" w:type="dxa"/>
          </w:tcPr>
          <w:p>
            <w:pPr>
              <w:rPr>
                <w:rFonts w:hint="default" w:eastAsia="宋体"/>
                <w:vertAlign w:val="baseline"/>
                <w:lang w:val="en-US" w:eastAsia="zh-CN"/>
              </w:rPr>
            </w:pPr>
            <w:r>
              <w:rPr>
                <w:rFonts w:hint="eastAsia"/>
                <w:vertAlign w:val="baseline"/>
                <w:lang w:val="en-US" w:eastAsia="zh-CN"/>
              </w:rPr>
              <w:t>0.00</w:t>
            </w:r>
          </w:p>
        </w:tc>
        <w:tc>
          <w:tcPr>
            <w:tcW w:w="600" w:type="dxa"/>
          </w:tcPr>
          <w:p>
            <w:pPr>
              <w:rPr>
                <w:rFonts w:hint="default" w:eastAsia="宋体"/>
                <w:vertAlign w:val="baseline"/>
                <w:lang w:val="en-US" w:eastAsia="zh-CN"/>
              </w:rPr>
            </w:pPr>
            <w:r>
              <w:rPr>
                <w:rFonts w:hint="eastAsia"/>
                <w:vertAlign w:val="baseline"/>
                <w:lang w:val="en-US" w:eastAsia="zh-CN"/>
              </w:rPr>
              <w:t>0.00</w:t>
            </w:r>
          </w:p>
        </w:tc>
        <w:tc>
          <w:tcPr>
            <w:tcW w:w="615" w:type="dxa"/>
          </w:tcPr>
          <w:p>
            <w:pPr>
              <w:rPr>
                <w:rFonts w:hint="default" w:eastAsia="宋体"/>
                <w:vertAlign w:val="baseline"/>
                <w:lang w:val="en-US" w:eastAsia="zh-CN"/>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vertAlign w:val="baseline"/>
                <w:lang w:val="en-US" w:eastAsia="zh-CN"/>
              </w:rPr>
              <w:t>1.00</w:t>
            </w:r>
          </w:p>
        </w:tc>
        <w:tc>
          <w:tcPr>
            <w:tcW w:w="510" w:type="dxa"/>
          </w:tcPr>
          <w:p>
            <w:pPr>
              <w:rPr>
                <w:sz w:val="16"/>
                <w:szCs w:val="16"/>
                <w:vertAlign w:val="baseline"/>
              </w:rPr>
            </w:pPr>
            <w:r>
              <w:rPr>
                <w:rFonts w:hint="eastAsia"/>
                <w:sz w:val="16"/>
                <w:szCs w:val="16"/>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55" w:type="dxa"/>
          </w:tcPr>
          <w:p>
            <w:pPr>
              <w:rPr>
                <w:sz w:val="16"/>
                <w:szCs w:val="16"/>
                <w:vertAlign w:val="baseline"/>
              </w:rPr>
            </w:pPr>
            <w:r>
              <w:rPr>
                <w:rFonts w:hint="eastAsia"/>
                <w:sz w:val="16"/>
                <w:szCs w:val="16"/>
                <w:vertAlign w:val="baseline"/>
                <w:lang w:val="en-US" w:eastAsia="zh-CN"/>
              </w:rPr>
              <w:t>0.00</w:t>
            </w:r>
          </w:p>
        </w:tc>
        <w:tc>
          <w:tcPr>
            <w:tcW w:w="540" w:type="dxa"/>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7</w:t>
            </w:r>
          </w:p>
        </w:tc>
        <w:tc>
          <w:tcPr>
            <w:tcW w:w="539" w:type="dxa"/>
          </w:tcPr>
          <w:p>
            <w:pPr>
              <w:jc w:val="center"/>
              <w:rPr>
                <w:rFonts w:hint="default" w:eastAsia="宋体"/>
                <w:vertAlign w:val="baseline"/>
                <w:lang w:val="en-US" w:eastAsia="zh-CN"/>
              </w:rPr>
            </w:pPr>
          </w:p>
        </w:tc>
        <w:tc>
          <w:tcPr>
            <w:tcW w:w="810" w:type="dxa"/>
          </w:tcPr>
          <w:p>
            <w:pPr>
              <w:rPr>
                <w:vertAlign w:val="baseline"/>
              </w:rPr>
            </w:pPr>
            <w:r>
              <w:rPr>
                <w:rFonts w:hint="eastAsia" w:ascii="Arial" w:hAnsi="Arial" w:cs="Arial"/>
                <w:i w:val="0"/>
                <w:color w:val="000000"/>
                <w:sz w:val="20"/>
                <w:szCs w:val="20"/>
                <w:u w:val="none"/>
                <w:lang w:val="en-US" w:eastAsia="zh-CN"/>
              </w:rPr>
              <w:t>涉密项目2</w:t>
            </w:r>
          </w:p>
        </w:tc>
        <w:tc>
          <w:tcPr>
            <w:tcW w:w="690" w:type="dxa"/>
          </w:tcPr>
          <w:p>
            <w:pPr>
              <w:rPr>
                <w:vertAlign w:val="baseline"/>
              </w:rPr>
            </w:pPr>
          </w:p>
        </w:tc>
        <w:tc>
          <w:tcPr>
            <w:tcW w:w="870" w:type="dxa"/>
          </w:tcPr>
          <w:p>
            <w:pPr>
              <w:rPr>
                <w:vertAlign w:val="baseline"/>
              </w:rPr>
            </w:pPr>
          </w:p>
        </w:tc>
        <w:tc>
          <w:tcPr>
            <w:tcW w:w="825" w:type="dxa"/>
          </w:tcPr>
          <w:p>
            <w:pPr>
              <w:rPr>
                <w:rFonts w:hint="default" w:eastAsia="宋体"/>
                <w:vertAlign w:val="baseline"/>
                <w:lang w:val="en-US" w:eastAsia="zh-CN"/>
              </w:rPr>
            </w:pPr>
            <w:r>
              <w:rPr>
                <w:rFonts w:hint="eastAsia"/>
                <w:vertAlign w:val="baseline"/>
                <w:lang w:val="en-US" w:eastAsia="zh-CN"/>
              </w:rPr>
              <w:t>170.58</w:t>
            </w:r>
          </w:p>
        </w:tc>
        <w:tc>
          <w:tcPr>
            <w:tcW w:w="840" w:type="dxa"/>
          </w:tcPr>
          <w:p>
            <w:pPr>
              <w:rPr>
                <w:rFonts w:hint="default" w:eastAsia="宋体"/>
                <w:vertAlign w:val="baseline"/>
                <w:lang w:val="en-US" w:eastAsia="zh-CN"/>
              </w:rPr>
            </w:pPr>
            <w:r>
              <w:rPr>
                <w:rFonts w:hint="eastAsia"/>
                <w:vertAlign w:val="baseline"/>
                <w:lang w:val="en-US" w:eastAsia="zh-CN"/>
              </w:rPr>
              <w:t>170.58</w:t>
            </w:r>
          </w:p>
        </w:tc>
        <w:tc>
          <w:tcPr>
            <w:tcW w:w="600" w:type="dxa"/>
            <w:vAlign w:val="top"/>
          </w:tcPr>
          <w:p>
            <w:pPr>
              <w:rPr>
                <w:vertAlign w:val="baseline"/>
              </w:rPr>
            </w:pPr>
            <w:r>
              <w:rPr>
                <w:rFonts w:hint="eastAsia"/>
                <w:vertAlign w:val="baseline"/>
                <w:lang w:val="en-US" w:eastAsia="zh-CN"/>
              </w:rPr>
              <w:t>0.00</w:t>
            </w:r>
          </w:p>
        </w:tc>
        <w:tc>
          <w:tcPr>
            <w:tcW w:w="615" w:type="dxa"/>
            <w:vAlign w:val="top"/>
          </w:tcPr>
          <w:p>
            <w:pPr>
              <w:rPr>
                <w:vertAlign w:val="baseline"/>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55" w:type="dxa"/>
          </w:tcPr>
          <w:p>
            <w:pPr>
              <w:rPr>
                <w:sz w:val="16"/>
                <w:szCs w:val="16"/>
                <w:vertAlign w:val="baseline"/>
              </w:rPr>
            </w:pPr>
            <w:r>
              <w:rPr>
                <w:rFonts w:hint="eastAsia"/>
                <w:sz w:val="16"/>
                <w:szCs w:val="16"/>
                <w:vertAlign w:val="baseline"/>
                <w:lang w:val="en-US" w:eastAsia="zh-CN"/>
              </w:rPr>
              <w:t>0.00</w:t>
            </w:r>
          </w:p>
        </w:tc>
        <w:tc>
          <w:tcPr>
            <w:tcW w:w="540" w:type="dxa"/>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8</w:t>
            </w:r>
          </w:p>
        </w:tc>
        <w:tc>
          <w:tcPr>
            <w:tcW w:w="539" w:type="dxa"/>
          </w:tcPr>
          <w:p>
            <w:pPr>
              <w:rPr>
                <w:vertAlign w:val="baseline"/>
              </w:rPr>
            </w:pPr>
          </w:p>
        </w:tc>
        <w:tc>
          <w:tcPr>
            <w:tcW w:w="810" w:type="dxa"/>
          </w:tcPr>
          <w:p>
            <w:pPr>
              <w:jc w:val="center"/>
              <w:rPr>
                <w:rFonts w:hint="default" w:eastAsia="宋体"/>
                <w:vertAlign w:val="baseline"/>
                <w:lang w:val="en-US" w:eastAsia="zh-CN"/>
              </w:rPr>
            </w:pPr>
          </w:p>
        </w:tc>
        <w:tc>
          <w:tcPr>
            <w:tcW w:w="690" w:type="dxa"/>
          </w:tcPr>
          <w:p>
            <w:pPr>
              <w:rPr>
                <w:vertAlign w:val="baseline"/>
              </w:rPr>
            </w:pPr>
          </w:p>
        </w:tc>
        <w:tc>
          <w:tcPr>
            <w:tcW w:w="870" w:type="dxa"/>
          </w:tcPr>
          <w:p>
            <w:pPr>
              <w:rPr>
                <w:vertAlign w:val="baseline"/>
              </w:rPr>
            </w:pPr>
          </w:p>
        </w:tc>
        <w:tc>
          <w:tcPr>
            <w:tcW w:w="825" w:type="dxa"/>
          </w:tcPr>
          <w:p>
            <w:pPr>
              <w:rPr>
                <w:rFonts w:hint="default" w:eastAsia="宋体"/>
                <w:vertAlign w:val="baseline"/>
                <w:lang w:val="en-US" w:eastAsia="zh-CN"/>
              </w:rPr>
            </w:pPr>
            <w:r>
              <w:rPr>
                <w:rFonts w:hint="eastAsia"/>
                <w:vertAlign w:val="baseline"/>
                <w:lang w:val="en-US" w:eastAsia="zh-CN"/>
              </w:rPr>
              <w:t>170.58</w:t>
            </w:r>
          </w:p>
        </w:tc>
        <w:tc>
          <w:tcPr>
            <w:tcW w:w="840" w:type="dxa"/>
          </w:tcPr>
          <w:p>
            <w:pPr>
              <w:rPr>
                <w:rFonts w:hint="default" w:eastAsia="宋体"/>
                <w:vertAlign w:val="baseline"/>
                <w:lang w:val="en-US" w:eastAsia="zh-CN"/>
              </w:rPr>
            </w:pPr>
            <w:r>
              <w:rPr>
                <w:rFonts w:hint="eastAsia"/>
                <w:vertAlign w:val="baseline"/>
                <w:lang w:val="en-US" w:eastAsia="zh-CN"/>
              </w:rPr>
              <w:t>170.58</w:t>
            </w:r>
          </w:p>
        </w:tc>
        <w:tc>
          <w:tcPr>
            <w:tcW w:w="600" w:type="dxa"/>
            <w:vAlign w:val="top"/>
          </w:tcPr>
          <w:p>
            <w:pPr>
              <w:rPr>
                <w:vertAlign w:val="baseline"/>
              </w:rPr>
            </w:pPr>
            <w:r>
              <w:rPr>
                <w:rFonts w:hint="eastAsia"/>
                <w:vertAlign w:val="baseline"/>
                <w:lang w:val="en-US" w:eastAsia="zh-CN"/>
              </w:rPr>
              <w:t>0.00</w:t>
            </w:r>
          </w:p>
        </w:tc>
        <w:tc>
          <w:tcPr>
            <w:tcW w:w="615" w:type="dxa"/>
            <w:vAlign w:val="top"/>
          </w:tcPr>
          <w:p>
            <w:pPr>
              <w:rPr>
                <w:vertAlign w:val="baseline"/>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55" w:type="dxa"/>
          </w:tcPr>
          <w:p>
            <w:pPr>
              <w:rPr>
                <w:sz w:val="16"/>
                <w:szCs w:val="16"/>
                <w:vertAlign w:val="baseline"/>
              </w:rPr>
            </w:pPr>
            <w:r>
              <w:rPr>
                <w:rFonts w:hint="eastAsia"/>
                <w:sz w:val="16"/>
                <w:szCs w:val="16"/>
                <w:vertAlign w:val="baseline"/>
                <w:lang w:val="en-US" w:eastAsia="zh-CN"/>
              </w:rPr>
              <w:t>0.00</w:t>
            </w:r>
          </w:p>
        </w:tc>
        <w:tc>
          <w:tcPr>
            <w:tcW w:w="540" w:type="dxa"/>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eastAsia" w:eastAsia="宋体"/>
                <w:vertAlign w:val="baseline"/>
                <w:lang w:val="en-US" w:eastAsia="zh-CN"/>
              </w:rPr>
            </w:pPr>
            <w:r>
              <w:rPr>
                <w:rFonts w:hint="eastAsia"/>
                <w:vertAlign w:val="baseline"/>
                <w:lang w:val="en-US" w:eastAsia="zh-CN"/>
              </w:rPr>
              <w:t>9</w:t>
            </w:r>
          </w:p>
        </w:tc>
        <w:tc>
          <w:tcPr>
            <w:tcW w:w="539" w:type="dxa"/>
          </w:tcPr>
          <w:p>
            <w:pPr>
              <w:rPr>
                <w:vertAlign w:val="baseline"/>
              </w:rPr>
            </w:pPr>
          </w:p>
        </w:tc>
        <w:tc>
          <w:tcPr>
            <w:tcW w:w="810" w:type="dxa"/>
          </w:tcPr>
          <w:p>
            <w:pPr>
              <w:rPr>
                <w:vertAlign w:val="baseline"/>
              </w:rPr>
            </w:pPr>
          </w:p>
        </w:tc>
        <w:tc>
          <w:tcPr>
            <w:tcW w:w="690" w:type="dxa"/>
          </w:tcPr>
          <w:p>
            <w:pPr>
              <w:jc w:val="center"/>
              <w:rPr>
                <w:rFonts w:hint="default" w:eastAsia="宋体"/>
                <w:vertAlign w:val="baseline"/>
                <w:lang w:val="en-US" w:eastAsia="zh-CN"/>
              </w:rPr>
            </w:pPr>
            <w:r>
              <w:rPr>
                <w:rFonts w:hint="eastAsia" w:ascii="Arial" w:hAnsi="Arial" w:cs="Arial"/>
                <w:i w:val="0"/>
                <w:color w:val="000000"/>
                <w:sz w:val="20"/>
                <w:szCs w:val="20"/>
                <w:u w:val="none"/>
                <w:lang w:val="en-US" w:eastAsia="zh-CN"/>
              </w:rPr>
              <w:t>涉密项目2</w:t>
            </w:r>
          </w:p>
        </w:tc>
        <w:tc>
          <w:tcPr>
            <w:tcW w:w="870" w:type="dxa"/>
          </w:tcPr>
          <w:p>
            <w:pPr>
              <w:jc w:val="center"/>
              <w:rPr>
                <w:vertAlign w:val="baseline"/>
              </w:rPr>
            </w:pPr>
            <w:r>
              <w:rPr>
                <w:rFonts w:hint="eastAsia"/>
                <w:vertAlign w:val="baseline"/>
                <w:lang w:val="en-US" w:eastAsia="zh-CN"/>
              </w:rPr>
              <w:t>长春市军队离休退休干部花园路休养所</w:t>
            </w:r>
          </w:p>
        </w:tc>
        <w:tc>
          <w:tcPr>
            <w:tcW w:w="825" w:type="dxa"/>
          </w:tcPr>
          <w:p>
            <w:pPr>
              <w:rPr>
                <w:rFonts w:hint="default" w:eastAsia="宋体"/>
                <w:vertAlign w:val="baseline"/>
                <w:lang w:val="en-US" w:eastAsia="zh-CN"/>
              </w:rPr>
            </w:pPr>
            <w:r>
              <w:rPr>
                <w:rFonts w:hint="eastAsia"/>
                <w:vertAlign w:val="baseline"/>
                <w:lang w:val="en-US" w:eastAsia="zh-CN"/>
              </w:rPr>
              <w:t>160.00</w:t>
            </w:r>
          </w:p>
        </w:tc>
        <w:tc>
          <w:tcPr>
            <w:tcW w:w="840" w:type="dxa"/>
          </w:tcPr>
          <w:p>
            <w:pPr>
              <w:rPr>
                <w:rFonts w:hint="default" w:eastAsia="宋体"/>
                <w:vertAlign w:val="baseline"/>
                <w:lang w:val="en-US" w:eastAsia="zh-CN"/>
              </w:rPr>
            </w:pPr>
            <w:r>
              <w:rPr>
                <w:rFonts w:hint="eastAsia"/>
                <w:vertAlign w:val="baseline"/>
                <w:lang w:val="en-US" w:eastAsia="zh-CN"/>
              </w:rPr>
              <w:t>160.00</w:t>
            </w:r>
          </w:p>
        </w:tc>
        <w:tc>
          <w:tcPr>
            <w:tcW w:w="600" w:type="dxa"/>
            <w:vAlign w:val="top"/>
          </w:tcPr>
          <w:p>
            <w:pPr>
              <w:rPr>
                <w:vertAlign w:val="baseline"/>
              </w:rPr>
            </w:pPr>
            <w:r>
              <w:rPr>
                <w:rFonts w:hint="eastAsia"/>
                <w:vertAlign w:val="baseline"/>
                <w:lang w:val="en-US" w:eastAsia="zh-CN"/>
              </w:rPr>
              <w:t>0.00</w:t>
            </w:r>
          </w:p>
        </w:tc>
        <w:tc>
          <w:tcPr>
            <w:tcW w:w="615" w:type="dxa"/>
            <w:vAlign w:val="top"/>
          </w:tcPr>
          <w:p>
            <w:pPr>
              <w:rPr>
                <w:vertAlign w:val="baseline"/>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55" w:type="dxa"/>
          </w:tcPr>
          <w:p>
            <w:pPr>
              <w:rPr>
                <w:sz w:val="16"/>
                <w:szCs w:val="16"/>
                <w:vertAlign w:val="baseline"/>
              </w:rPr>
            </w:pPr>
            <w:r>
              <w:rPr>
                <w:rFonts w:hint="eastAsia"/>
                <w:sz w:val="16"/>
                <w:szCs w:val="16"/>
                <w:vertAlign w:val="baseline"/>
                <w:lang w:val="en-US" w:eastAsia="zh-CN"/>
              </w:rPr>
              <w:t>0.00</w:t>
            </w:r>
          </w:p>
        </w:tc>
        <w:tc>
          <w:tcPr>
            <w:tcW w:w="540" w:type="dxa"/>
          </w:tcPr>
          <w:p>
            <w:pPr>
              <w:rPr>
                <w:sz w:val="16"/>
                <w:szCs w:val="16"/>
                <w:vertAlign w:val="baseline"/>
              </w:rPr>
            </w:pPr>
            <w:r>
              <w:rPr>
                <w:rFonts w:hint="eastAsia"/>
                <w:sz w:val="16"/>
                <w:szCs w:val="16"/>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Pr>
          <w:p>
            <w:pPr>
              <w:jc w:val="center"/>
              <w:rPr>
                <w:rFonts w:hint="default" w:eastAsia="宋体"/>
                <w:vertAlign w:val="baseline"/>
                <w:lang w:val="en-US" w:eastAsia="zh-CN"/>
              </w:rPr>
            </w:pPr>
            <w:r>
              <w:rPr>
                <w:rFonts w:hint="eastAsia"/>
                <w:vertAlign w:val="baseline"/>
                <w:lang w:val="en-US" w:eastAsia="zh-CN"/>
              </w:rPr>
              <w:t>10</w:t>
            </w:r>
          </w:p>
        </w:tc>
        <w:tc>
          <w:tcPr>
            <w:tcW w:w="539" w:type="dxa"/>
          </w:tcPr>
          <w:p>
            <w:pPr>
              <w:rPr>
                <w:vertAlign w:val="baseline"/>
              </w:rPr>
            </w:pPr>
          </w:p>
        </w:tc>
        <w:tc>
          <w:tcPr>
            <w:tcW w:w="810" w:type="dxa"/>
          </w:tcPr>
          <w:p>
            <w:pPr>
              <w:rPr>
                <w:vertAlign w:val="baseline"/>
              </w:rPr>
            </w:pPr>
          </w:p>
        </w:tc>
        <w:tc>
          <w:tcPr>
            <w:tcW w:w="690" w:type="dxa"/>
          </w:tcPr>
          <w:p>
            <w:pPr>
              <w:jc w:val="center"/>
              <w:rPr>
                <w:rFonts w:hint="default" w:eastAsia="宋体"/>
                <w:vertAlign w:val="baseline"/>
                <w:lang w:val="en-US" w:eastAsia="zh-CN"/>
              </w:rPr>
            </w:pPr>
            <w:r>
              <w:rPr>
                <w:rFonts w:hint="eastAsia" w:ascii="Arial" w:hAnsi="Arial" w:cs="Arial"/>
                <w:i w:val="0"/>
                <w:color w:val="000000"/>
                <w:sz w:val="20"/>
                <w:szCs w:val="20"/>
                <w:u w:val="none"/>
                <w:lang w:val="en-US" w:eastAsia="zh-CN"/>
              </w:rPr>
              <w:t>购置新能源汽车</w:t>
            </w:r>
          </w:p>
        </w:tc>
        <w:tc>
          <w:tcPr>
            <w:tcW w:w="870" w:type="dxa"/>
          </w:tcPr>
          <w:p>
            <w:pPr>
              <w:jc w:val="center"/>
              <w:rPr>
                <w:vertAlign w:val="baseline"/>
              </w:rPr>
            </w:pPr>
            <w:r>
              <w:rPr>
                <w:rFonts w:hint="eastAsia"/>
                <w:vertAlign w:val="baseline"/>
                <w:lang w:val="en-US" w:eastAsia="zh-CN"/>
              </w:rPr>
              <w:t>长春市军队离休退休干部花园路休养所</w:t>
            </w:r>
          </w:p>
        </w:tc>
        <w:tc>
          <w:tcPr>
            <w:tcW w:w="825" w:type="dxa"/>
          </w:tcPr>
          <w:p>
            <w:pPr>
              <w:rPr>
                <w:rFonts w:hint="default" w:eastAsia="宋体"/>
                <w:vertAlign w:val="baseline"/>
                <w:lang w:val="en-US" w:eastAsia="zh-CN"/>
              </w:rPr>
            </w:pPr>
            <w:r>
              <w:rPr>
                <w:rFonts w:hint="eastAsia"/>
                <w:vertAlign w:val="baseline"/>
                <w:lang w:val="en-US" w:eastAsia="zh-CN"/>
              </w:rPr>
              <w:t>10.58</w:t>
            </w:r>
          </w:p>
        </w:tc>
        <w:tc>
          <w:tcPr>
            <w:tcW w:w="840" w:type="dxa"/>
          </w:tcPr>
          <w:p>
            <w:pPr>
              <w:rPr>
                <w:rFonts w:hint="default" w:eastAsia="宋体"/>
                <w:vertAlign w:val="baseline"/>
                <w:lang w:val="en-US" w:eastAsia="zh-CN"/>
              </w:rPr>
            </w:pPr>
            <w:r>
              <w:rPr>
                <w:rFonts w:hint="eastAsia"/>
                <w:vertAlign w:val="baseline"/>
                <w:lang w:val="en-US" w:eastAsia="zh-CN"/>
              </w:rPr>
              <w:t>10.58</w:t>
            </w:r>
          </w:p>
        </w:tc>
        <w:tc>
          <w:tcPr>
            <w:tcW w:w="600" w:type="dxa"/>
            <w:vAlign w:val="top"/>
          </w:tcPr>
          <w:p>
            <w:pPr>
              <w:rPr>
                <w:vertAlign w:val="baseline"/>
              </w:rPr>
            </w:pPr>
            <w:r>
              <w:rPr>
                <w:rFonts w:hint="eastAsia"/>
                <w:vertAlign w:val="baseline"/>
                <w:lang w:val="en-US" w:eastAsia="zh-CN"/>
              </w:rPr>
              <w:t>0.00</w:t>
            </w:r>
          </w:p>
        </w:tc>
        <w:tc>
          <w:tcPr>
            <w:tcW w:w="615" w:type="dxa"/>
            <w:vAlign w:val="top"/>
          </w:tcPr>
          <w:p>
            <w:pPr>
              <w:rPr>
                <w:vertAlign w:val="baseline"/>
              </w:rPr>
            </w:pPr>
            <w:r>
              <w:rPr>
                <w:rFonts w:hint="eastAsia"/>
                <w:vertAlign w:val="baseline"/>
                <w:lang w:val="en-US" w:eastAsia="zh-CN"/>
              </w:rPr>
              <w:t>0.00</w:t>
            </w:r>
          </w:p>
        </w:tc>
        <w:tc>
          <w:tcPr>
            <w:tcW w:w="795" w:type="dxa"/>
          </w:tcPr>
          <w:p>
            <w:pPr>
              <w:rPr>
                <w:rFonts w:hint="default" w:eastAsia="宋体"/>
                <w:vertAlign w:val="baseline"/>
                <w:lang w:val="en-US" w:eastAsia="zh-CN"/>
              </w:rPr>
            </w:pPr>
            <w:r>
              <w:rPr>
                <w:rFonts w:hint="eastAsia"/>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10" w:type="dxa"/>
          </w:tcPr>
          <w:p>
            <w:pPr>
              <w:rPr>
                <w:sz w:val="16"/>
                <w:szCs w:val="16"/>
                <w:vertAlign w:val="baseline"/>
              </w:rPr>
            </w:pPr>
            <w:r>
              <w:rPr>
                <w:rFonts w:hint="eastAsia"/>
                <w:sz w:val="16"/>
                <w:szCs w:val="16"/>
                <w:vertAlign w:val="baseline"/>
                <w:lang w:val="en-US" w:eastAsia="zh-CN"/>
              </w:rPr>
              <w:t>0.00</w:t>
            </w:r>
          </w:p>
        </w:tc>
        <w:tc>
          <w:tcPr>
            <w:tcW w:w="555" w:type="dxa"/>
          </w:tcPr>
          <w:p>
            <w:pPr>
              <w:rPr>
                <w:sz w:val="16"/>
                <w:szCs w:val="16"/>
                <w:vertAlign w:val="baseline"/>
              </w:rPr>
            </w:pPr>
            <w:r>
              <w:rPr>
                <w:rFonts w:hint="eastAsia"/>
                <w:sz w:val="16"/>
                <w:szCs w:val="16"/>
                <w:vertAlign w:val="baseline"/>
                <w:lang w:val="en-US" w:eastAsia="zh-CN"/>
              </w:rPr>
              <w:t>0.00</w:t>
            </w:r>
          </w:p>
        </w:tc>
        <w:tc>
          <w:tcPr>
            <w:tcW w:w="540" w:type="dxa"/>
          </w:tcPr>
          <w:p>
            <w:pPr>
              <w:rPr>
                <w:sz w:val="16"/>
                <w:szCs w:val="16"/>
                <w:vertAlign w:val="baseline"/>
              </w:rPr>
            </w:pPr>
            <w:r>
              <w:rPr>
                <w:rFonts w:hint="eastAsia"/>
                <w:sz w:val="16"/>
                <w:szCs w:val="16"/>
                <w:vertAlign w:val="baseline"/>
                <w:lang w:val="en-US" w:eastAsia="zh-CN"/>
              </w:rPr>
              <w:t>0.00</w:t>
            </w:r>
          </w:p>
        </w:tc>
      </w:tr>
    </w:tbl>
    <w:p>
      <w:pPr>
        <w:widowControl/>
        <w:spacing w:line="360" w:lineRule="auto"/>
        <w:jc w:val="left"/>
        <w:rPr>
          <w:rFonts w:hint="eastAsia" w:ascii="Arial Unicode MS" w:hAnsi="Times New Roman" w:cs="Arial Unicode MS"/>
          <w:w w:val="95"/>
          <w:kern w:val="0"/>
          <w:sz w:val="44"/>
          <w:szCs w:val="44"/>
          <w:highlight w:val="none"/>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numPr>
          <w:ilvl w:val="0"/>
          <w:numId w:val="4"/>
        </w:numPr>
        <w:snapToGrid w:val="0"/>
        <w:spacing w:line="600" w:lineRule="exact"/>
        <w:ind w:firstLine="642" w:firstLineChars="200"/>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lang w:val="en-US" w:eastAsia="zh-CN"/>
        </w:rPr>
        <w:t>2023年度部门预算表</w:t>
      </w:r>
      <w:r>
        <w:rPr>
          <w:rFonts w:hint="eastAsia" w:ascii="黑体" w:hAnsi="黑体" w:eastAsia="黑体" w:cs="Times New Roman"/>
          <w:b/>
          <w:sz w:val="32"/>
          <w:szCs w:val="32"/>
          <w:highlight w:val="none"/>
        </w:rPr>
        <w:t>情况说明</w:t>
      </w:r>
    </w:p>
    <w:p>
      <w:pPr>
        <w:numPr>
          <w:ilvl w:val="0"/>
          <w:numId w:val="0"/>
        </w:numPr>
        <w:snapToGrid w:val="0"/>
        <w:spacing w:line="600" w:lineRule="exact"/>
        <w:jc w:val="both"/>
        <w:rPr>
          <w:rFonts w:hint="eastAsia" w:ascii="黑体" w:hAnsi="黑体" w:eastAsia="黑体" w:cs="Times New Roman"/>
          <w:b/>
          <w:sz w:val="32"/>
          <w:szCs w:val="32"/>
          <w:highlight w:val="none"/>
        </w:rPr>
      </w:pPr>
    </w:p>
    <w:p>
      <w:pPr>
        <w:pStyle w:val="3"/>
        <w:kinsoku w:val="0"/>
        <w:overflowPunct w:val="0"/>
        <w:spacing w:before="53"/>
        <w:ind w:firstLine="640" w:firstLineChars="200"/>
        <w:rPr>
          <w:rFonts w:hint="eastAsia" w:ascii="黑体" w:eastAsia="黑体" w:cs="黑体"/>
          <w:highlight w:val="none"/>
        </w:rPr>
      </w:pPr>
      <w:r>
        <w:rPr>
          <w:rFonts w:hint="eastAsia" w:ascii="黑体" w:eastAsia="黑体" w:cs="黑体"/>
          <w:highlight w:val="none"/>
        </w:rPr>
        <w:t>一、202</w:t>
      </w:r>
      <w:r>
        <w:rPr>
          <w:rFonts w:hint="eastAsia" w:ascii="黑体" w:eastAsia="黑体" w:cs="黑体"/>
          <w:highlight w:val="none"/>
          <w:lang w:val="en-US" w:eastAsia="zh-CN"/>
        </w:rPr>
        <w:t>3</w:t>
      </w:r>
      <w:r>
        <w:rPr>
          <w:rFonts w:hint="eastAsia" w:ascii="黑体" w:eastAsia="黑体" w:cs="黑体"/>
          <w:highlight w:val="none"/>
        </w:rPr>
        <w:t>年收支预算总体情况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green"/>
          <w:lang w:val="en-US" w:eastAsia="zh-CN"/>
        </w:rPr>
      </w:pPr>
      <w:r>
        <w:rPr>
          <w:rFonts w:hint="eastAsia" w:ascii="仿宋_GB2312" w:hAnsi="仿宋_GB2312" w:eastAsia="仿宋_GB2312" w:cs="仿宋_GB2312"/>
          <w:sz w:val="32"/>
          <w:szCs w:val="32"/>
          <w:highlight w:val="none"/>
        </w:rPr>
        <w:t>长春市</w:t>
      </w:r>
      <w:r>
        <w:rPr>
          <w:rFonts w:hint="eastAsia" w:ascii="仿宋_GB2312" w:hAnsi="仿宋_GB2312" w:eastAsia="仿宋_GB2312" w:cs="仿宋_GB2312"/>
          <w:sz w:val="32"/>
          <w:szCs w:val="32"/>
          <w:highlight w:val="none"/>
          <w:lang w:val="en-US" w:eastAsia="zh-CN"/>
        </w:rPr>
        <w:t>军队离休退休干部花园路休养所2023</w:t>
      </w:r>
      <w:r>
        <w:rPr>
          <w:rFonts w:hint="eastAsia" w:ascii="仿宋_GB2312" w:hAnsi="仿宋_GB2312" w:eastAsia="仿宋_GB2312" w:cs="仿宋_GB2312"/>
          <w:sz w:val="32"/>
          <w:szCs w:val="32"/>
          <w:highlight w:val="none"/>
        </w:rPr>
        <w:t>年收支总预算</w:t>
      </w:r>
      <w:r>
        <w:rPr>
          <w:rFonts w:hint="eastAsia" w:ascii="仿宋_GB2312" w:hAnsi="仿宋_GB2312" w:eastAsia="仿宋_GB2312" w:cs="仿宋_GB2312"/>
          <w:sz w:val="32"/>
          <w:szCs w:val="32"/>
          <w:highlight w:val="none"/>
          <w:lang w:val="en-US" w:eastAsia="zh-CN"/>
        </w:rPr>
        <w:t>620.44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当年预算457.44万元,上年结转163万元。</w:t>
      </w:r>
      <w:r>
        <w:rPr>
          <w:rFonts w:hint="eastAsia" w:ascii="仿宋_GB2312" w:hAnsi="仿宋_GB2312" w:eastAsia="仿宋_GB2312" w:cs="仿宋_GB2312"/>
          <w:sz w:val="32"/>
          <w:szCs w:val="32"/>
          <w:highlight w:val="none"/>
        </w:rPr>
        <w:t>支出预算</w:t>
      </w:r>
      <w:r>
        <w:rPr>
          <w:rFonts w:hint="eastAsia" w:ascii="仿宋_GB2312" w:hAnsi="仿宋_GB2312" w:eastAsia="仿宋_GB2312" w:cs="仿宋_GB2312"/>
          <w:sz w:val="32"/>
          <w:szCs w:val="32"/>
          <w:highlight w:val="none"/>
          <w:lang w:val="en-US" w:eastAsia="zh-CN"/>
        </w:rPr>
        <w:t>620.44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sz w:val="32"/>
          <w:szCs w:val="32"/>
          <w:highlight w:val="none"/>
          <w:lang w:val="en-US" w:eastAsia="zh-CN"/>
        </w:rPr>
        <w:t>575.34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卫生健康支出</w:t>
      </w:r>
      <w:r>
        <w:rPr>
          <w:rFonts w:hint="eastAsia" w:ascii="仿宋_GB2312" w:hAnsi="仿宋_GB2312" w:eastAsia="仿宋_GB2312" w:cs="仿宋_GB2312"/>
          <w:sz w:val="32"/>
          <w:szCs w:val="32"/>
          <w:highlight w:val="none"/>
          <w:lang w:val="en-US" w:eastAsia="zh-CN"/>
        </w:rPr>
        <w:t>17.78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sz w:val="32"/>
          <w:szCs w:val="32"/>
          <w:highlight w:val="none"/>
          <w:lang w:val="en-US" w:eastAsia="zh-CN"/>
        </w:rPr>
        <w:t>27.32</w:t>
      </w:r>
      <w:r>
        <w:rPr>
          <w:rFonts w:hint="eastAsia" w:ascii="仿宋_GB2312" w:hAnsi="仿宋_GB2312" w:eastAsia="仿宋_GB2312" w:cs="仿宋_GB2312"/>
          <w:sz w:val="32"/>
          <w:szCs w:val="32"/>
          <w:highlight w:val="none"/>
        </w:rPr>
        <w:t>万元。</w:t>
      </w:r>
      <w:r>
        <w:rPr>
          <w:rFonts w:hint="eastAsia" w:ascii="仿宋_GB2312" w:hAnsi="仿宋" w:eastAsia="仿宋_GB2312" w:cs="仿宋_GB2312"/>
          <w:sz w:val="32"/>
          <w:szCs w:val="32"/>
          <w:highlight w:val="none"/>
          <w:lang w:val="en-US" w:eastAsia="zh-CN"/>
        </w:rPr>
        <w:t>2023年比2022年预算增加了348.86万元，增加177.8%，主要原因是2023年退役安置补助经费纳入预算。</w:t>
      </w:r>
    </w:p>
    <w:p>
      <w:pPr>
        <w:pStyle w:val="3"/>
        <w:kinsoku w:val="0"/>
        <w:overflowPunct w:val="0"/>
        <w:spacing w:before="53"/>
        <w:ind w:firstLine="640" w:firstLineChars="200"/>
        <w:rPr>
          <w:rFonts w:hint="eastAsia" w:ascii="黑体" w:hAnsi="黑体" w:eastAsia="黑体" w:cs="黑体"/>
          <w:highlight w:val="none"/>
        </w:rPr>
      </w:pPr>
      <w:r>
        <w:rPr>
          <w:rFonts w:hint="eastAsia" w:ascii="黑体" w:hAnsi="黑体" w:eastAsia="黑体" w:cs="黑体"/>
          <w:highlight w:val="none"/>
        </w:rPr>
        <w:t>二、202</w:t>
      </w:r>
      <w:r>
        <w:rPr>
          <w:rFonts w:hint="eastAsia" w:ascii="黑体" w:hAnsi="黑体" w:eastAsia="黑体" w:cs="黑体"/>
          <w:highlight w:val="none"/>
          <w:lang w:val="en-US" w:eastAsia="zh-CN"/>
        </w:rPr>
        <w:t>3</w:t>
      </w:r>
      <w:r>
        <w:rPr>
          <w:rFonts w:hint="eastAsia" w:ascii="黑体" w:hAnsi="黑体" w:eastAsia="黑体" w:cs="黑体"/>
          <w:highlight w:val="none"/>
        </w:rPr>
        <w:t>年收入预算情况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长春市军队离休退休干部花园路休养所2023年部门预算收入总金额为620.44万元，其中：一般公共预算457.44万元，占73.7%；一般公共预算拨款结转163万元，占26.3%。</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三、20</w:t>
      </w:r>
      <w:r>
        <w:rPr>
          <w:rFonts w:hint="eastAsia" w:ascii="黑体" w:hAnsi="黑体" w:eastAsia="黑体" w:cs="黑体"/>
          <w:highlight w:val="none"/>
          <w:lang w:val="en-US" w:eastAsia="zh-CN"/>
        </w:rPr>
        <w:t>23</w:t>
      </w:r>
      <w:r>
        <w:rPr>
          <w:rFonts w:hint="eastAsia" w:ascii="黑体" w:hAnsi="黑体" w:eastAsia="黑体" w:cs="黑体"/>
          <w:highlight w:val="none"/>
        </w:rPr>
        <w:t>年支出预算情况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长春市军队离休退休干部花园路休养所2023年支出预算为620.44万元，其中：基本支出286.86万元，占46.2%；项目支出333.58万元，占53.8%。</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四、202</w:t>
      </w:r>
      <w:r>
        <w:rPr>
          <w:rFonts w:hint="eastAsia" w:ascii="黑体" w:hAnsi="黑体" w:eastAsia="黑体" w:cs="黑体"/>
          <w:highlight w:val="none"/>
          <w:lang w:val="en-US" w:eastAsia="zh-CN"/>
        </w:rPr>
        <w:t>3</w:t>
      </w:r>
      <w:r>
        <w:rPr>
          <w:rFonts w:hint="eastAsia" w:ascii="黑体" w:hAnsi="黑体" w:eastAsia="黑体" w:cs="黑体"/>
          <w:highlight w:val="none"/>
        </w:rPr>
        <w:t>年财政拨款收支预算情况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花园路休养所2023年财政拨款收支预算为620.44万元，其中：当年预算为457.44万元,上年结转163万元。支出预算620.44万元，其中：社会保障和就业支出575.34万元；卫生健康支出17.78万元；住房保障支出27.32万元。2023年比2022年预算增加了348.86万元，增加177.8%，主要原因是2023年退役安置补助经费纳入预算。</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五、2022年一般公共预算支出情况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花园路休养所2023年一般公共预算支出620.44万元。用于以下方面支出：社会保障和就业支出575.34万元，占92.7%，主要用于保障职工工资及军休干部全年医疗保险费用；卫生健康支出17.78万元，占2.9%，主要用于事业单位基本医疗保险缴费支出；住房保障支出26.32万元，占4.4%，主要用于事业单位为职工缴纳的住房公积金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六、2022年一般公共预算基本支出情况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花园路休养所2023年一般公共预算基本支出286.86万元，基本支出是指为了保障单位机构正常运转、完成日常工作任务而发生的各项支出，包括人员经费和公用经费。其中，人员经费由基本工资、津贴补贴等支出组成；公用经费由办公费、印刷费、水电费等构成。人员经费支出250.11万元，公用经费支出36.75万元。</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七、20</w:t>
      </w:r>
      <w:r>
        <w:rPr>
          <w:rFonts w:hint="eastAsia" w:ascii="黑体" w:hAnsi="黑体" w:eastAsia="黑体" w:cs="黑体"/>
          <w:highlight w:val="none"/>
          <w:lang w:val="en-US" w:eastAsia="zh-CN"/>
        </w:rPr>
        <w:t>23</w:t>
      </w:r>
      <w:r>
        <w:rPr>
          <w:rFonts w:hint="eastAsia" w:ascii="黑体" w:hAnsi="黑体" w:eastAsia="黑体" w:cs="黑体"/>
          <w:highlight w:val="none"/>
        </w:rPr>
        <w:t xml:space="preserve"> 年一般公共预算财政拨款“三公”经费情况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长春市军队离休退休干部花园路休养所2023年一般公共预算“三公”经费支出15.25万元，其中：当年预算15.25万元，上年结转0万元。2023年预算数比2022年预算数增加11.5万元，主要原因是按要求购买新能源汽车。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因公出国（境）费0万元，其中：当年预算0万元，上年结转0万元，2023年预算数与2022年预算数相同；公务接待费0.67万元，其中：当年预算0.67万元，上年结转0万元，2023年预算数比2022年预算数减少0.08万元，主要原因是按要求压减支出；公务用车购置及运行费3万元，其中：当年预算3万元，上年结转0万元，2023年预算数与2022年预算数相同。</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八、202</w:t>
      </w:r>
      <w:r>
        <w:rPr>
          <w:rFonts w:hint="eastAsia" w:ascii="黑体" w:hAnsi="黑体" w:eastAsia="黑体" w:cs="黑体"/>
          <w:highlight w:val="none"/>
          <w:lang w:val="en-US" w:eastAsia="zh-CN"/>
        </w:rPr>
        <w:t>3</w:t>
      </w:r>
      <w:r>
        <w:rPr>
          <w:rFonts w:hint="eastAsia" w:ascii="黑体" w:hAnsi="黑体" w:eastAsia="黑体" w:cs="黑体"/>
          <w:highlight w:val="none"/>
        </w:rPr>
        <w:t xml:space="preserve"> 年政府性基金预算支出情况</w:t>
      </w:r>
    </w:p>
    <w:p>
      <w:pPr>
        <w:pStyle w:val="3"/>
        <w:kinsoku w:val="0"/>
        <w:overflowPunct w:val="0"/>
        <w:spacing w:before="58"/>
        <w:ind w:firstLine="640" w:firstLineChars="200"/>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长春市军队离休退休干部花园路休养所2023年无政府性基金预算支出。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九、202</w:t>
      </w:r>
      <w:r>
        <w:rPr>
          <w:rFonts w:hint="eastAsia" w:ascii="黑体" w:hAnsi="黑体" w:eastAsia="黑体" w:cs="黑体"/>
          <w:highlight w:val="none"/>
          <w:lang w:val="en-US" w:eastAsia="zh-CN"/>
        </w:rPr>
        <w:t>3</w:t>
      </w:r>
      <w:r>
        <w:rPr>
          <w:rFonts w:hint="eastAsia" w:ascii="黑体" w:hAnsi="黑体" w:eastAsia="黑体" w:cs="黑体"/>
          <w:highlight w:val="none"/>
        </w:rPr>
        <w:t xml:space="preserve"> 年</w:t>
      </w:r>
      <w:r>
        <w:rPr>
          <w:rFonts w:hint="eastAsia" w:ascii="黑体" w:hAnsi="黑体" w:eastAsia="黑体" w:cs="黑体"/>
          <w:highlight w:val="none"/>
          <w:lang w:eastAsia="zh-CN"/>
        </w:rPr>
        <w:t>国有资本经营</w:t>
      </w:r>
      <w:r>
        <w:rPr>
          <w:rFonts w:hint="eastAsia" w:ascii="黑体" w:hAnsi="黑体" w:eastAsia="黑体" w:cs="黑体"/>
          <w:highlight w:val="none"/>
        </w:rPr>
        <w:t>预算支出情况</w:t>
      </w:r>
    </w:p>
    <w:p>
      <w:pPr>
        <w:pStyle w:val="3"/>
        <w:kinsoku w:val="0"/>
        <w:overflowPunct w:val="0"/>
        <w:spacing w:before="58"/>
        <w:ind w:firstLine="640" w:firstLineChars="200"/>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长春市军队离休退休干部花园路休养所2023年无国有资本经营预算支出。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lang w:eastAsia="zh-CN"/>
        </w:rPr>
        <w:t>十、</w:t>
      </w:r>
      <w:r>
        <w:rPr>
          <w:rFonts w:hint="eastAsia" w:ascii="黑体" w:hAnsi="黑体" w:eastAsia="黑体" w:cs="黑体"/>
          <w:highlight w:val="none"/>
        </w:rPr>
        <w:t>202</w:t>
      </w:r>
      <w:r>
        <w:rPr>
          <w:rFonts w:hint="eastAsia" w:ascii="黑体" w:hAnsi="黑体" w:eastAsia="黑体" w:cs="黑体"/>
          <w:highlight w:val="none"/>
          <w:lang w:val="en-US" w:eastAsia="zh-CN"/>
        </w:rPr>
        <w:t>3</w:t>
      </w:r>
      <w:r>
        <w:rPr>
          <w:rFonts w:hint="eastAsia" w:ascii="黑体" w:hAnsi="黑体" w:eastAsia="黑体" w:cs="黑体"/>
          <w:highlight w:val="none"/>
        </w:rPr>
        <w:t xml:space="preserve"> 年</w:t>
      </w:r>
      <w:r>
        <w:rPr>
          <w:rFonts w:hint="eastAsia" w:ascii="黑体" w:hAnsi="黑体" w:eastAsia="黑体" w:cs="黑体"/>
          <w:highlight w:val="none"/>
          <w:lang w:eastAsia="zh-CN"/>
        </w:rPr>
        <w:t>项目</w:t>
      </w:r>
      <w:r>
        <w:rPr>
          <w:rFonts w:hint="eastAsia" w:ascii="黑体" w:hAnsi="黑体" w:eastAsia="黑体" w:cs="黑体"/>
          <w:highlight w:val="none"/>
        </w:rPr>
        <w:t>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长春市军队离休退休干部花园路休养所2023年项目支出预算333.58万元。</w:t>
      </w:r>
    </w:p>
    <w:p>
      <w:pPr>
        <w:pStyle w:val="3"/>
        <w:kinsoku w:val="0"/>
        <w:overflowPunct w:val="0"/>
        <w:spacing w:before="58"/>
        <w:ind w:left="747"/>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长春市军队离休退休干部管理服务中心2023年政府采购新能源汽车11.58万元。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长春市军队离休退休干部花园路休养所资产总额为107.69万元，具体构成如下：</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1.土地、房屋及建筑物0万元；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2.通用设备79.05万元，其中包含车辆1辆，价值14.98万元；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3.专用设备5.22万元；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4.家具用具类22.64万元；</w:t>
      </w:r>
    </w:p>
    <w:p>
      <w:pPr>
        <w:pStyle w:val="3"/>
        <w:keepNext w:val="0"/>
        <w:keepLines w:val="0"/>
        <w:pageBreakBefore w:val="0"/>
        <w:widowControl w:val="0"/>
        <w:numPr>
          <w:ilvl w:val="0"/>
          <w:numId w:val="0"/>
        </w:numPr>
        <w:kinsoku w:val="0"/>
        <w:wordWrap/>
        <w:overflowPunct w:val="0"/>
        <w:topLinePunct w:val="0"/>
        <w:bidi w:val="0"/>
        <w:snapToGrid/>
        <w:spacing w:line="560" w:lineRule="exact"/>
        <w:ind w:firstLine="640" w:firstLineChars="200"/>
        <w:textAlignment w:val="auto"/>
        <w:rPr>
          <w:rFonts w:hint="default" w:ascii="仿宋_GB2312" w:hAnsi="仿宋" w:eastAsia="仿宋_GB2312" w:cs="仿宋_GB2312"/>
          <w:kern w:val="2"/>
          <w:sz w:val="32"/>
          <w:szCs w:val="32"/>
          <w:highlight w:val="none"/>
          <w:lang w:val="en-US" w:eastAsia="zh-CN" w:bidi="ar-SA"/>
        </w:rPr>
      </w:pPr>
      <w:r>
        <w:rPr>
          <w:rFonts w:hint="eastAsia" w:ascii="仿宋_GB2312" w:hAnsi="仿宋" w:eastAsia="仿宋_GB2312" w:cs="仿宋_GB2312"/>
          <w:kern w:val="2"/>
          <w:sz w:val="32"/>
          <w:szCs w:val="32"/>
          <w:highlight w:val="none"/>
          <w:lang w:val="en-US" w:eastAsia="zh-CN" w:bidi="ar-SA"/>
        </w:rPr>
        <w:t>5.无形资产0.78万元。</w:t>
      </w:r>
      <w:bookmarkStart w:id="0" w:name="_GoBack"/>
      <w:bookmarkEnd w:id="0"/>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sz w:val="32"/>
          <w:highlight w:val="none"/>
        </w:rPr>
      </w:pPr>
      <w:r>
        <w:rPr>
          <w:rFonts w:hint="eastAsia" w:ascii="楷体" w:hAnsi="楷体" w:eastAsia="楷体"/>
          <w:sz w:val="32"/>
          <w:highlight w:val="none"/>
        </w:rPr>
        <w:t>（</w:t>
      </w:r>
      <w:r>
        <w:rPr>
          <w:rFonts w:hint="eastAsia" w:ascii="楷体" w:hAnsi="楷体" w:eastAsia="楷体"/>
          <w:sz w:val="32"/>
          <w:highlight w:val="none"/>
          <w:lang w:eastAsia="zh-CN"/>
        </w:rPr>
        <w:t>三</w:t>
      </w:r>
      <w:r>
        <w:rPr>
          <w:rFonts w:hint="eastAsia" w:ascii="楷体" w:hAnsi="楷体" w:eastAsia="楷体"/>
          <w:sz w:val="32"/>
          <w:highlight w:val="none"/>
        </w:rPr>
        <w:t>）机关运行经费支出情况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0"/>
          <w:highlight w:val="none"/>
          <w:lang w:val="en-US" w:eastAsia="zh-CN"/>
        </w:rPr>
      </w:pPr>
      <w:r>
        <w:rPr>
          <w:rFonts w:hint="eastAsia" w:ascii="仿宋_GB2312" w:hAnsi="仿宋" w:eastAsia="仿宋_GB2312" w:cs="仿宋_GB2312"/>
          <w:kern w:val="2"/>
          <w:sz w:val="32"/>
          <w:szCs w:val="32"/>
          <w:highlight w:val="none"/>
          <w:lang w:val="en-US" w:eastAsia="zh-CN" w:bidi="ar-SA"/>
        </w:rPr>
        <w:t>长春市军队离休退休干部花园路休养所2023年</w:t>
      </w:r>
      <w:r>
        <w:rPr>
          <w:rFonts w:hint="eastAsia" w:ascii="仿宋" w:hAnsi="仿宋" w:eastAsia="仿宋" w:cs="仿宋"/>
          <w:sz w:val="32"/>
          <w:highlight w:val="none"/>
        </w:rPr>
        <w:t>机关运行经费支出</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kern w:val="0"/>
          <w:sz w:val="32"/>
          <w:szCs w:val="32"/>
          <w:highlight w:val="none"/>
        </w:rPr>
        <w:t>比年初预算数增加</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万元，增长</w:t>
      </w:r>
      <w:r>
        <w:rPr>
          <w:rFonts w:hint="eastAsia" w:ascii="仿宋" w:hAnsi="仿宋" w:eastAsia="仿宋" w:cs="仿宋"/>
          <w:kern w:val="0"/>
          <w:sz w:val="32"/>
          <w:szCs w:val="32"/>
          <w:highlight w:val="none"/>
          <w:lang w:val="en-US" w:eastAsia="zh-CN"/>
        </w:rPr>
        <w:t>0.0</w:t>
      </w:r>
      <w:r>
        <w:rPr>
          <w:rFonts w:hint="eastAsia" w:ascii="仿宋" w:hAnsi="仿宋" w:eastAsia="仿宋" w:cs="仿宋"/>
          <w:kern w:val="0"/>
          <w:sz w:val="32"/>
          <w:szCs w:val="32"/>
          <w:highlight w:val="none"/>
        </w:rPr>
        <w:t>%</w:t>
      </w:r>
      <w:r>
        <w:rPr>
          <w:rFonts w:hint="eastAsia" w:ascii="仿宋" w:hAnsi="仿宋" w:eastAsia="仿宋" w:cs="仿宋"/>
          <w:sz w:val="32"/>
          <w:highlight w:val="none"/>
        </w:rPr>
        <w:t>，主要是</w:t>
      </w:r>
      <w:r>
        <w:rPr>
          <w:rFonts w:hint="eastAsia" w:ascii="仿宋" w:hAnsi="仿宋" w:eastAsia="仿宋" w:cs="仿宋"/>
          <w:sz w:val="32"/>
          <w:szCs w:val="30"/>
          <w:highlight w:val="none"/>
          <w:lang w:val="en-US" w:eastAsia="zh-CN"/>
        </w:rPr>
        <w:t>2023年我单位不涉及此项</w:t>
      </w:r>
      <w:r>
        <w:rPr>
          <w:rFonts w:hint="eastAsia" w:ascii="仿宋" w:hAnsi="仿宋" w:eastAsia="仿宋" w:cs="仿宋"/>
          <w:sz w:val="32"/>
          <w:szCs w:val="30"/>
          <w:highlight w:val="none"/>
        </w:rPr>
        <w:t>。</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_GB2312" w:hAnsi="仿宋" w:eastAsia="仿宋_GB2312" w:cs="仿宋_GB2312"/>
          <w:kern w:val="2"/>
          <w:sz w:val="32"/>
          <w:szCs w:val="32"/>
          <w:highlight w:val="none"/>
          <w:lang w:val="en-US" w:eastAsia="zh-CN" w:bidi="ar-SA"/>
        </w:rPr>
      </w:pPr>
    </w:p>
    <w:p>
      <w:pPr>
        <w:pStyle w:val="3"/>
        <w:kinsoku w:val="0"/>
        <w:overflowPunct w:val="0"/>
        <w:spacing w:before="130"/>
        <w:rPr>
          <w:rFonts w:hint="eastAsia" w:ascii="仿宋" w:hAnsi="仿宋" w:eastAsia="仿宋"/>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p>
    <w:p>
      <w:pPr>
        <w:pStyle w:val="3"/>
        <w:kinsoku w:val="0"/>
        <w:overflowPunct w:val="0"/>
        <w:jc w:val="center"/>
        <w:rPr>
          <w:rFonts w:hint="eastAsia" w:ascii="黑体" w:eastAsia="黑体" w:cs="黑体"/>
          <w:b/>
          <w:highlight w:val="none"/>
        </w:rPr>
      </w:pPr>
      <w:r>
        <w:rPr>
          <w:rFonts w:hint="eastAsia" w:ascii="黑体" w:eastAsia="黑体" w:cs="黑体"/>
          <w:b/>
          <w:highlight w:val="none"/>
        </w:rPr>
        <w:t>第四部分</w:t>
      </w:r>
      <w:r>
        <w:rPr>
          <w:rFonts w:ascii="黑体" w:eastAsia="黑体" w:cs="黑体"/>
          <w:b/>
          <w:highlight w:val="none"/>
        </w:rPr>
        <w:t xml:space="preserve"> </w:t>
      </w:r>
      <w:r>
        <w:rPr>
          <w:rFonts w:hint="eastAsia" w:ascii="黑体" w:eastAsia="黑体" w:cs="黑体"/>
          <w:b/>
          <w:highlight w:val="none"/>
        </w:rPr>
        <w:t>名词解释</w:t>
      </w:r>
    </w:p>
    <w:p>
      <w:pPr>
        <w:pStyle w:val="3"/>
        <w:kinsoku w:val="0"/>
        <w:overflowPunct w:val="0"/>
        <w:jc w:val="center"/>
        <w:rPr>
          <w:rFonts w:hint="eastAsia" w:ascii="黑体" w:eastAsia="黑体" w:cs="黑体"/>
          <w:highlight w:val="none"/>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一、财政拨款收入：指财政当年拨付的资金。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二、基本支出：指为保障机构正常运转、完成日常工作</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任务而发生的人员支出和公用支出。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三、项目支出：指在基本支出之外为完成特定行政任务</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和事业发展目标所发生的支出。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四</w:t>
      </w:r>
      <w:r>
        <w:rPr>
          <w:rFonts w:hint="eastAsia" w:ascii="仿宋_GB2312" w:hAnsi="仿宋_GB2312" w:eastAsia="仿宋_GB2312" w:cs="仿宋_GB2312"/>
          <w:highlight w:val="none"/>
        </w:rPr>
        <w:t>、事业单位医疗（科目代码 2101102）：反映财政部门集中安排的事业单位基本医疗保险缴费经费，未参加医疗保险的事业单位的公费医疗经费，按国家规定享受离休人员待遇的医疗经费。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五</w:t>
      </w:r>
      <w:r>
        <w:rPr>
          <w:rFonts w:hint="eastAsia" w:ascii="仿宋_GB2312" w:hAnsi="仿宋_GB2312" w:eastAsia="仿宋_GB2312" w:cs="仿宋_GB2312"/>
          <w:highlight w:val="none"/>
        </w:rPr>
        <w:t>、公务员医疗补助（科目代码 2101103）：反映财政部门集中安排的公务员医疗补助经费。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六</w:t>
      </w:r>
      <w:r>
        <w:rPr>
          <w:rFonts w:hint="eastAsia" w:ascii="仿宋_GB2312" w:hAnsi="仿宋_GB2312" w:eastAsia="仿宋_GB2312" w:cs="仿宋_GB2312"/>
          <w:highlight w:val="none"/>
        </w:rPr>
        <w:t>、住房公积金（科目代码 2210201）：反映行政事业单位按人力资源和社会主义保障部、财政部规定的基本工资和津贴补贴以及规定比例为职工缴纳的住房公积金。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highlight w:val="none"/>
          <w:lang w:val="en-US" w:eastAsia="zh-CN"/>
        </w:rPr>
      </w:pPr>
      <w:r>
        <w:rPr>
          <w:rFonts w:hint="eastAsia" w:ascii="仿宋_GB2312" w:hAnsi="仿宋_GB2312" w:eastAsia="仿宋_GB2312" w:cs="仿宋_GB2312"/>
          <w:highlight w:val="none"/>
          <w:lang w:val="en-US" w:eastAsia="zh-CN"/>
        </w:rPr>
        <w:t>七</w:t>
      </w:r>
      <w:r>
        <w:rPr>
          <w:rFonts w:hint="eastAsia" w:ascii="仿宋_GB2312" w:hAnsi="仿宋_GB2312" w:eastAsia="仿宋_GB2312" w:cs="仿宋_GB2312"/>
          <w:highlight w:val="none"/>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7B5F"/>
    <w:multiLevelType w:val="singleLevel"/>
    <w:tmpl w:val="ADB67B5F"/>
    <w:lvl w:ilvl="0" w:tentative="0">
      <w:start w:val="1"/>
      <w:numFmt w:val="chineseCounting"/>
      <w:suff w:val="nothing"/>
      <w:lvlText w:val="%1、"/>
      <w:lvlJc w:val="left"/>
      <w:rPr>
        <w:rFonts w:hint="eastAsia"/>
      </w:rPr>
    </w:lvl>
  </w:abstractNum>
  <w:abstractNum w:abstractNumId="1">
    <w:nsid w:val="DAA68A6C"/>
    <w:multiLevelType w:val="singleLevel"/>
    <w:tmpl w:val="DAA68A6C"/>
    <w:lvl w:ilvl="0" w:tentative="0">
      <w:start w:val="3"/>
      <w:numFmt w:val="chineseCounting"/>
      <w:suff w:val="space"/>
      <w:lvlText w:val="第%1部分"/>
      <w:lvlJc w:val="left"/>
      <w:rPr>
        <w:rFonts w:hint="eastAsia"/>
      </w:rPr>
    </w:lvl>
  </w:abstractNum>
  <w:abstractNum w:abstractNumId="2">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7E7FB081"/>
    <w:multiLevelType w:val="singleLevel"/>
    <w:tmpl w:val="7E7FB081"/>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zAwYmZkMWNhZmZhMTI0ZjQyZWJkYzJmNWNiMzEifQ=="/>
  </w:docVars>
  <w:rsids>
    <w:rsidRoot w:val="00172A27"/>
    <w:rsid w:val="00EF74DF"/>
    <w:rsid w:val="021F6013"/>
    <w:rsid w:val="03A676AF"/>
    <w:rsid w:val="04693E38"/>
    <w:rsid w:val="055314D6"/>
    <w:rsid w:val="05C67B7E"/>
    <w:rsid w:val="05FD666C"/>
    <w:rsid w:val="0E7D5646"/>
    <w:rsid w:val="11B23F9D"/>
    <w:rsid w:val="121139A1"/>
    <w:rsid w:val="14C52A4A"/>
    <w:rsid w:val="16B014D8"/>
    <w:rsid w:val="1C450915"/>
    <w:rsid w:val="1C4E1616"/>
    <w:rsid w:val="23B55B48"/>
    <w:rsid w:val="2936763E"/>
    <w:rsid w:val="29B36FF1"/>
    <w:rsid w:val="29EE5B62"/>
    <w:rsid w:val="2A655377"/>
    <w:rsid w:val="2ADB4165"/>
    <w:rsid w:val="2D1041E3"/>
    <w:rsid w:val="2FF63066"/>
    <w:rsid w:val="3581411C"/>
    <w:rsid w:val="38C06F01"/>
    <w:rsid w:val="3B320C69"/>
    <w:rsid w:val="3D7F664A"/>
    <w:rsid w:val="3E0A382D"/>
    <w:rsid w:val="42897EB1"/>
    <w:rsid w:val="4332184F"/>
    <w:rsid w:val="443F7D0C"/>
    <w:rsid w:val="447F1DD1"/>
    <w:rsid w:val="45DD7344"/>
    <w:rsid w:val="4AE411DA"/>
    <w:rsid w:val="4BDE5BC4"/>
    <w:rsid w:val="4DAC4780"/>
    <w:rsid w:val="51017CDE"/>
    <w:rsid w:val="52A37A23"/>
    <w:rsid w:val="53AE2320"/>
    <w:rsid w:val="58D24C70"/>
    <w:rsid w:val="59062FCE"/>
    <w:rsid w:val="61BF394A"/>
    <w:rsid w:val="621D259F"/>
    <w:rsid w:val="63F13674"/>
    <w:rsid w:val="643524E3"/>
    <w:rsid w:val="66EF123F"/>
    <w:rsid w:val="67671AFD"/>
    <w:rsid w:val="69807AB1"/>
    <w:rsid w:val="6A0A4DBB"/>
    <w:rsid w:val="6B71546C"/>
    <w:rsid w:val="6D284A9A"/>
    <w:rsid w:val="6DE53850"/>
    <w:rsid w:val="73D2575F"/>
    <w:rsid w:val="77F7140E"/>
    <w:rsid w:val="77FEFA57"/>
    <w:rsid w:val="78014877"/>
    <w:rsid w:val="7E434CE5"/>
    <w:rsid w:val="7E5C1374"/>
    <w:rsid w:val="7E965270"/>
    <w:rsid w:val="E4FFC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beforeLines="0" w:afterLines="0" w:line="560" w:lineRule="exact"/>
      <w:ind w:left="0"/>
      <w:outlineLvl w:val="4"/>
    </w:pPr>
    <w:rPr>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 w:type="paragraph" w:customStyle="1" w:styleId="8">
    <w:name w:val="Heading 11"/>
    <w:basedOn w:val="1"/>
    <w:qFormat/>
    <w:uiPriority w:val="99"/>
    <w:pPr>
      <w:autoSpaceDE w:val="0"/>
      <w:autoSpaceDN w:val="0"/>
      <w:adjustRightInd w:val="0"/>
      <w:spacing w:line="616" w:lineRule="exact"/>
      <w:ind w:left="2932"/>
      <w:jc w:val="left"/>
      <w:outlineLvl w:val="0"/>
    </w:pPr>
    <w:rPr>
      <w:rFonts w:ascii="Arial Unicode MS" w:hAnsi="Times New Roman" w:eastAsia="Times New Roman" w:cs="Arial Unicode M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6378</Words>
  <Characters>9304</Characters>
  <Lines>0</Lines>
  <Paragraphs>0</Paragraphs>
  <TotalTime>30</TotalTime>
  <ScaleCrop>false</ScaleCrop>
  <LinksUpToDate>false</LinksUpToDate>
  <CharactersWithSpaces>9657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2022-04-09T01:53:00Z</dcterms:created>
  <dc:creator>Administrator</dc:creator>
  <cp:lastModifiedBy>tyjr</cp:lastModifiedBy>
  <cp:lastPrinted>2022-05-18T22:26:00Z</cp:lastPrinted>
  <dcterms:modified xsi:type="dcterms:W3CDTF">2023-02-17T12:05:50Z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87A3A3032A514373AA3FCFB4B5B3D747</vt:lpwstr>
  </property>
</Properties>
</file>