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hint="eastAsia" w:ascii="Arial" w:hAnsi="Arial" w:eastAsia="方正小标宋简体" w:cs="方正小标宋简体"/>
          <w:sz w:val="44"/>
          <w:szCs w:val="44"/>
          <w:highlight w:val="none"/>
          <w:lang w:val="en-US" w:eastAsia="zh-CN"/>
        </w:rPr>
      </w:pPr>
      <w:r>
        <w:rPr>
          <w:rFonts w:hint="eastAsia" w:ascii="Arial" w:hAnsi="Arial" w:eastAsia="方正小标宋简体" w:cs="方正小标宋简体"/>
          <w:sz w:val="44"/>
          <w:szCs w:val="44"/>
          <w:highlight w:val="none"/>
        </w:rPr>
        <w:t>长春市</w:t>
      </w:r>
      <w:r>
        <w:rPr>
          <w:rFonts w:hint="eastAsia" w:ascii="Arial" w:hAnsi="Arial" w:eastAsia="方正小标宋简体" w:cs="方正小标宋简体"/>
          <w:sz w:val="44"/>
          <w:szCs w:val="44"/>
          <w:highlight w:val="none"/>
          <w:lang w:val="en-US" w:eastAsia="zh-CN"/>
        </w:rPr>
        <w:t>军队离休退休干部绿园休养所</w:t>
      </w:r>
    </w:p>
    <w:p>
      <w:pPr>
        <w:spacing w:line="360" w:lineRule="auto"/>
        <w:jc w:val="center"/>
        <w:rPr>
          <w:rFonts w:hint="eastAsia" w:ascii="Arial" w:hAnsi="Arial" w:eastAsia="方正小标宋简体" w:cs="方正小标宋简体"/>
          <w:sz w:val="44"/>
          <w:szCs w:val="44"/>
          <w:highlight w:val="none"/>
        </w:rPr>
      </w:pPr>
      <w:r>
        <w:rPr>
          <w:rFonts w:hint="eastAsia" w:ascii="Arial" w:hAnsi="Arial" w:eastAsia="方正小标宋简体" w:cs="方正小标宋简体"/>
          <w:sz w:val="44"/>
          <w:szCs w:val="44"/>
          <w:highlight w:val="none"/>
        </w:rPr>
        <w:t>202</w:t>
      </w:r>
      <w:r>
        <w:rPr>
          <w:rFonts w:hint="eastAsia" w:ascii="Arial" w:hAnsi="Arial" w:eastAsia="方正小标宋简体" w:cs="方正小标宋简体"/>
          <w:sz w:val="44"/>
          <w:szCs w:val="44"/>
          <w:highlight w:val="none"/>
          <w:lang w:val="en-US" w:eastAsia="zh-CN"/>
        </w:rPr>
        <w:t>3</w:t>
      </w:r>
      <w:r>
        <w:rPr>
          <w:rFonts w:hint="eastAsia" w:ascii="Arial" w:hAnsi="Arial" w:eastAsia="方正小标宋简体" w:cs="方正小标宋简体"/>
          <w:sz w:val="44"/>
          <w:szCs w:val="44"/>
          <w:highlight w:val="none"/>
        </w:rPr>
        <w:t>年度部门预算</w:t>
      </w: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hint="eastAsia"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r>
        <w:rPr>
          <w:rFonts w:hint="eastAsia" w:ascii="Arial" w:hAnsi="Arial" w:eastAsia="方正小标宋简体" w:cs="Times New Roman"/>
          <w:sz w:val="44"/>
          <w:szCs w:val="44"/>
          <w:highlight w:val="none"/>
        </w:rPr>
        <w:t>202</w:t>
      </w:r>
      <w:r>
        <w:rPr>
          <w:rFonts w:hint="eastAsia" w:ascii="Arial" w:hAnsi="Arial" w:eastAsia="方正小标宋简体" w:cs="Times New Roman"/>
          <w:sz w:val="44"/>
          <w:szCs w:val="44"/>
          <w:highlight w:val="none"/>
          <w:lang w:val="en-US" w:eastAsia="zh-CN"/>
        </w:rPr>
        <w:t>3</w:t>
      </w:r>
      <w:r>
        <w:rPr>
          <w:rFonts w:hint="eastAsia" w:ascii="Arial" w:hAnsi="Arial" w:eastAsia="方正小标宋简体" w:cs="Times New Roman"/>
          <w:sz w:val="44"/>
          <w:szCs w:val="44"/>
          <w:highlight w:val="none"/>
        </w:rPr>
        <w:t>年</w:t>
      </w:r>
      <w:r>
        <w:rPr>
          <w:rFonts w:hint="eastAsia" w:ascii="Arial" w:hAnsi="Arial" w:eastAsia="方正小标宋简体" w:cs="Times New Roman"/>
          <w:sz w:val="44"/>
          <w:szCs w:val="44"/>
          <w:highlight w:val="none"/>
          <w:lang w:val="en-US" w:eastAsia="zh-CN"/>
        </w:rPr>
        <w:t>2</w:t>
      </w:r>
      <w:r>
        <w:rPr>
          <w:rFonts w:hint="eastAsia" w:ascii="Arial" w:hAnsi="Arial" w:eastAsia="方正小标宋简体" w:cs="Times New Roman"/>
          <w:sz w:val="44"/>
          <w:szCs w:val="44"/>
          <w:highlight w:val="none"/>
        </w:rPr>
        <w:t>月</w:t>
      </w:r>
      <w:r>
        <w:rPr>
          <w:rFonts w:hint="eastAsia" w:ascii="Arial" w:hAnsi="Arial" w:eastAsia="方正小标宋简体" w:cs="Times New Roman"/>
          <w:sz w:val="44"/>
          <w:szCs w:val="44"/>
          <w:highlight w:val="none"/>
          <w:lang w:val="en-US" w:eastAsia="zh-CN"/>
        </w:rPr>
        <w:t>18</w:t>
      </w:r>
      <w:r>
        <w:rPr>
          <w:rFonts w:hint="eastAsia" w:ascii="Arial" w:hAnsi="Arial" w:eastAsia="方正小标宋简体" w:cs="Times New Roman"/>
          <w:sz w:val="44"/>
          <w:szCs w:val="44"/>
          <w:highlight w:val="none"/>
        </w:rPr>
        <w:t>日</w:t>
      </w:r>
    </w:p>
    <w:p>
      <w:pPr>
        <w:spacing w:line="360" w:lineRule="auto"/>
        <w:jc w:val="center"/>
        <w:rPr>
          <w:rFonts w:ascii="Arial" w:hAnsi="Arial" w:eastAsia="方正小标宋简体" w:cs="Times New Roman"/>
          <w:sz w:val="44"/>
          <w:szCs w:val="44"/>
          <w:highlight w:val="none"/>
        </w:rPr>
      </w:pPr>
    </w:p>
    <w:p>
      <w:pPr>
        <w:spacing w:line="360" w:lineRule="auto"/>
        <w:jc w:val="center"/>
        <w:outlineLvl w:val="1"/>
        <w:rPr>
          <w:rFonts w:ascii="方正小标宋简体" w:hAnsi="方正小标宋简体" w:eastAsia="方正小标宋简体" w:cs="Times New Roman"/>
          <w:sz w:val="44"/>
          <w:szCs w:val="44"/>
          <w:highlight w:val="none"/>
        </w:rPr>
      </w:pPr>
      <w:r>
        <w:rPr>
          <w:rFonts w:ascii="方正小标宋简体" w:hAnsi="方正小标宋简体" w:eastAsia="方正小标宋简体" w:cs="Times New Roman"/>
          <w:sz w:val="44"/>
          <w:szCs w:val="44"/>
          <w:highlight w:val="none"/>
        </w:rPr>
        <w:br w:type="page"/>
      </w:r>
      <w:r>
        <w:rPr>
          <w:rFonts w:hint="eastAsia" w:ascii="方正小标宋简体" w:hAnsi="方正小标宋简体" w:eastAsia="方正小标宋简体" w:cs="方正小标宋简体"/>
          <w:sz w:val="44"/>
          <w:szCs w:val="44"/>
          <w:highlight w:val="none"/>
        </w:rPr>
        <w:t>目 录</w:t>
      </w:r>
    </w:p>
    <w:p>
      <w:pPr>
        <w:spacing w:line="360" w:lineRule="auto"/>
        <w:rPr>
          <w:rFonts w:hint="eastAsia" w:ascii="黑体" w:hAnsi="黑体" w:eastAsia="黑体" w:cs="Times New Roman"/>
          <w:sz w:val="32"/>
          <w:szCs w:val="32"/>
          <w:highlight w:val="none"/>
        </w:rPr>
      </w:pPr>
    </w:p>
    <w:p>
      <w:pPr>
        <w:spacing w:line="360" w:lineRule="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第一部分 部门概况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一、主要职能</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二、机构设置</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三、部门预算基本情况</w:t>
      </w:r>
    </w:p>
    <w:p>
      <w:pPr>
        <w:spacing w:line="360" w:lineRule="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第二部分 202</w:t>
      </w:r>
      <w:r>
        <w:rPr>
          <w:rFonts w:hint="eastAsia" w:ascii="黑体" w:hAnsi="黑体" w:eastAsia="黑体" w:cs="Times New Roman"/>
          <w:sz w:val="32"/>
          <w:szCs w:val="32"/>
          <w:highlight w:val="none"/>
          <w:lang w:val="en-US" w:eastAsia="zh-CN"/>
        </w:rPr>
        <w:t>3</w:t>
      </w:r>
      <w:r>
        <w:rPr>
          <w:rFonts w:hint="eastAsia" w:ascii="黑体" w:hAnsi="黑体" w:eastAsia="黑体" w:cs="Times New Roman"/>
          <w:sz w:val="32"/>
          <w:szCs w:val="32"/>
          <w:highlight w:val="none"/>
        </w:rPr>
        <w:t>年度部门预算表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一、收支总表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二、收入总表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三、支出总表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四、财政拨款收支总表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五、</w:t>
      </w:r>
      <w:r>
        <w:rPr>
          <w:rFonts w:hint="eastAsia" w:ascii="仿宋_GB2312" w:hAnsi="仿宋" w:eastAsia="仿宋_GB2312" w:cs="仿宋_GB2312"/>
          <w:sz w:val="32"/>
          <w:szCs w:val="32"/>
          <w:highlight w:val="none"/>
          <w:lang w:eastAsia="zh-CN"/>
        </w:rPr>
        <w:t>本年</w:t>
      </w:r>
      <w:r>
        <w:rPr>
          <w:rFonts w:hint="eastAsia" w:ascii="仿宋_GB2312" w:hAnsi="仿宋" w:eastAsia="仿宋_GB2312" w:cs="仿宋_GB2312"/>
          <w:sz w:val="32"/>
          <w:szCs w:val="32"/>
          <w:highlight w:val="none"/>
        </w:rPr>
        <w:t>一般公共预算支出表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六、</w:t>
      </w:r>
      <w:r>
        <w:rPr>
          <w:rFonts w:hint="eastAsia" w:ascii="仿宋_GB2312" w:hAnsi="仿宋" w:eastAsia="仿宋_GB2312" w:cs="仿宋_GB2312"/>
          <w:sz w:val="32"/>
          <w:szCs w:val="32"/>
          <w:highlight w:val="none"/>
          <w:lang w:eastAsia="zh-CN"/>
        </w:rPr>
        <w:t>本年</w:t>
      </w:r>
      <w:r>
        <w:rPr>
          <w:rFonts w:hint="eastAsia" w:ascii="仿宋_GB2312" w:hAnsi="仿宋" w:eastAsia="仿宋_GB2312" w:cs="仿宋_GB2312"/>
          <w:sz w:val="32"/>
          <w:szCs w:val="32"/>
          <w:highlight w:val="none"/>
        </w:rPr>
        <w:t>一般公共预算基本支出表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七、</w:t>
      </w:r>
      <w:r>
        <w:rPr>
          <w:rFonts w:hint="eastAsia" w:ascii="仿宋_GB2312" w:hAnsi="仿宋" w:eastAsia="仿宋_GB2312" w:cs="仿宋_GB2312"/>
          <w:sz w:val="32"/>
          <w:szCs w:val="32"/>
          <w:highlight w:val="none"/>
          <w:lang w:eastAsia="zh-CN"/>
        </w:rPr>
        <w:t>本年</w:t>
      </w:r>
      <w:r>
        <w:rPr>
          <w:rFonts w:hint="eastAsia" w:ascii="仿宋_GB2312" w:hAnsi="仿宋" w:eastAsia="仿宋_GB2312" w:cs="仿宋_GB2312"/>
          <w:sz w:val="32"/>
          <w:szCs w:val="32"/>
          <w:highlight w:val="none"/>
        </w:rPr>
        <w:t>一般公共预算“三公”经费支出表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八、</w:t>
      </w:r>
      <w:r>
        <w:rPr>
          <w:rFonts w:hint="eastAsia" w:ascii="仿宋_GB2312" w:hAnsi="仿宋" w:eastAsia="仿宋_GB2312" w:cs="仿宋_GB2312"/>
          <w:sz w:val="32"/>
          <w:szCs w:val="32"/>
          <w:highlight w:val="none"/>
          <w:lang w:eastAsia="zh-CN"/>
        </w:rPr>
        <w:t>本年</w:t>
      </w:r>
      <w:r>
        <w:rPr>
          <w:rFonts w:hint="eastAsia" w:ascii="仿宋_GB2312" w:hAnsi="仿宋" w:eastAsia="仿宋_GB2312" w:cs="仿宋_GB2312"/>
          <w:sz w:val="32"/>
          <w:szCs w:val="32"/>
          <w:highlight w:val="none"/>
        </w:rPr>
        <w:t>政府性基金预算支出表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九、国有资本经营预算支出表</w:t>
      </w: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十、项目支出表</w:t>
      </w:r>
    </w:p>
    <w:p>
      <w:pPr>
        <w:spacing w:line="360" w:lineRule="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第三部分 202</w:t>
      </w:r>
      <w:r>
        <w:rPr>
          <w:rFonts w:hint="eastAsia" w:ascii="黑体" w:hAnsi="黑体" w:eastAsia="黑体" w:cs="Times New Roman"/>
          <w:sz w:val="32"/>
          <w:szCs w:val="32"/>
          <w:highlight w:val="none"/>
          <w:lang w:val="en-US" w:eastAsia="zh-CN"/>
        </w:rPr>
        <w:t>3</w:t>
      </w:r>
      <w:r>
        <w:rPr>
          <w:rFonts w:hint="eastAsia" w:ascii="黑体" w:hAnsi="黑体" w:eastAsia="黑体" w:cs="Times New Roman"/>
          <w:sz w:val="32"/>
          <w:szCs w:val="32"/>
          <w:highlight w:val="none"/>
        </w:rPr>
        <w:t>年度部门预算表情况说明</w:t>
      </w:r>
    </w:p>
    <w:p>
      <w:pPr>
        <w:spacing w:line="360" w:lineRule="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一、202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年收支</w:t>
      </w:r>
      <w:r>
        <w:rPr>
          <w:rFonts w:hint="eastAsia" w:ascii="仿宋_GB2312" w:hAnsi="仿宋" w:eastAsia="仿宋_GB2312" w:cs="仿宋_GB2312"/>
          <w:sz w:val="32"/>
          <w:szCs w:val="32"/>
          <w:highlight w:val="none"/>
          <w:lang w:val="en-US" w:eastAsia="zh-CN"/>
        </w:rPr>
        <w:t>预算总体情况</w:t>
      </w:r>
    </w:p>
    <w:p>
      <w:pPr>
        <w:spacing w:line="360" w:lineRule="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二、202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年收入</w:t>
      </w:r>
      <w:r>
        <w:rPr>
          <w:rFonts w:hint="eastAsia" w:ascii="仿宋_GB2312" w:hAnsi="仿宋" w:eastAsia="仿宋_GB2312" w:cs="仿宋_GB2312"/>
          <w:sz w:val="32"/>
          <w:szCs w:val="32"/>
          <w:highlight w:val="none"/>
          <w:lang w:val="en-US" w:eastAsia="zh-CN"/>
        </w:rPr>
        <w:t>预算情况</w:t>
      </w: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三、202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年支出</w:t>
      </w:r>
      <w:r>
        <w:rPr>
          <w:rFonts w:hint="eastAsia" w:ascii="仿宋_GB2312" w:hAnsi="仿宋" w:eastAsia="仿宋_GB2312" w:cs="仿宋_GB2312"/>
          <w:sz w:val="32"/>
          <w:szCs w:val="32"/>
          <w:highlight w:val="none"/>
          <w:lang w:val="en-US" w:eastAsia="zh-CN"/>
        </w:rPr>
        <w:t>预算情况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四、202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年财政拨款收支</w:t>
      </w:r>
      <w:r>
        <w:rPr>
          <w:rFonts w:hint="eastAsia" w:ascii="仿宋_GB2312" w:hAnsi="仿宋" w:eastAsia="仿宋_GB2312" w:cs="仿宋_GB2312"/>
          <w:sz w:val="32"/>
          <w:szCs w:val="32"/>
          <w:highlight w:val="none"/>
          <w:lang w:val="en-US" w:eastAsia="zh-CN"/>
        </w:rPr>
        <w:t>预算情况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五、202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年一般公共预算支出</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六、202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年一般公共预算基本支出</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七、202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年一般公共预算“三公”经费</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八、202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年政府性基金预算支出</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九、2023年</w:t>
      </w:r>
      <w:r>
        <w:rPr>
          <w:rFonts w:hint="eastAsia" w:ascii="仿宋_GB2312" w:hAnsi="仿宋" w:eastAsia="仿宋_GB2312" w:cs="仿宋_GB2312"/>
          <w:sz w:val="32"/>
          <w:szCs w:val="32"/>
          <w:highlight w:val="none"/>
        </w:rPr>
        <w:t>国有资本经营预算</w:t>
      </w:r>
      <w:r>
        <w:rPr>
          <w:rFonts w:hint="eastAsia" w:ascii="仿宋_GB2312" w:hAnsi="仿宋" w:eastAsia="仿宋_GB2312" w:cs="仿宋_GB2312"/>
          <w:sz w:val="32"/>
          <w:szCs w:val="32"/>
          <w:highlight w:val="none"/>
          <w:lang w:eastAsia="zh-CN"/>
        </w:rPr>
        <w:t>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eastAsia="zh-CN"/>
        </w:rPr>
        <w:t>十</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2023年项目支出情况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十一、其他重要事项情况说明</w:t>
      </w:r>
    </w:p>
    <w:p>
      <w:pPr>
        <w:spacing w:line="360" w:lineRule="auto"/>
        <w:rPr>
          <w:rFonts w:ascii="黑体" w:hAnsi="黑体" w:eastAsia="黑体" w:cs="Times New Roman"/>
          <w:sz w:val="32"/>
          <w:szCs w:val="32"/>
          <w:highlight w:val="none"/>
        </w:rPr>
      </w:pPr>
      <w:r>
        <w:rPr>
          <w:rFonts w:hint="eastAsia" w:ascii="黑体" w:hAnsi="黑体" w:eastAsia="黑体" w:cs="Times New Roman"/>
          <w:sz w:val="32"/>
          <w:szCs w:val="32"/>
          <w:highlight w:val="none"/>
        </w:rPr>
        <w:t>第四部分 名词解释</w:t>
      </w:r>
    </w:p>
    <w:p>
      <w:pPr>
        <w:spacing w:line="360" w:lineRule="auto"/>
        <w:rPr>
          <w:rFonts w:ascii="黑体" w:hAnsi="黑体" w:eastAsia="黑体" w:cs="Times New Roman"/>
          <w:sz w:val="32"/>
          <w:szCs w:val="32"/>
          <w:highlight w:val="none"/>
        </w:rPr>
      </w:pPr>
    </w:p>
    <w:p>
      <w:pPr>
        <w:spacing w:line="360" w:lineRule="auto"/>
        <w:rPr>
          <w:rFonts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ascii="仿宋" w:hAnsi="仿宋" w:eastAsia="仿宋" w:cs="Times New Roman"/>
          <w:sz w:val="32"/>
          <w:szCs w:val="32"/>
          <w:highlight w:val="none"/>
        </w:rPr>
      </w:pPr>
    </w:p>
    <w:p>
      <w:pPr>
        <w:snapToGrid w:val="0"/>
        <w:spacing w:line="600" w:lineRule="exact"/>
        <w:ind w:firstLine="642" w:firstLineChars="200"/>
        <w:jc w:val="center"/>
        <w:rPr>
          <w:rFonts w:hint="eastAsia" w:ascii="黑体" w:hAnsi="黑体" w:eastAsia="黑体" w:cs="Times New Roman"/>
          <w:b/>
          <w:sz w:val="32"/>
          <w:szCs w:val="32"/>
          <w:highlight w:val="none"/>
        </w:rPr>
      </w:pPr>
      <w:r>
        <w:rPr>
          <w:rFonts w:hint="eastAsia" w:ascii="黑体" w:hAnsi="黑体" w:eastAsia="黑体" w:cs="Times New Roman"/>
          <w:b/>
          <w:sz w:val="32"/>
          <w:szCs w:val="32"/>
          <w:highlight w:val="none"/>
        </w:rPr>
        <w:t>第一部分  部门概况</w:t>
      </w:r>
    </w:p>
    <w:p>
      <w:pPr>
        <w:snapToGrid w:val="0"/>
        <w:spacing w:line="600" w:lineRule="exact"/>
        <w:ind w:firstLine="642" w:firstLineChars="200"/>
        <w:jc w:val="center"/>
        <w:rPr>
          <w:rFonts w:hint="eastAsia" w:ascii="黑体" w:hAnsi="黑体" w:eastAsia="黑体" w:cs="Times New Roman"/>
          <w:b/>
          <w:sz w:val="32"/>
          <w:szCs w:val="32"/>
          <w:highlight w:val="none"/>
        </w:rPr>
      </w:pPr>
    </w:p>
    <w:p>
      <w:pPr>
        <w:snapToGrid w:val="0"/>
        <w:spacing w:line="600" w:lineRule="exact"/>
        <w:ind w:firstLine="642" w:firstLineChars="200"/>
        <w:rPr>
          <w:rFonts w:hint="eastAsia" w:ascii="宋体" w:hAnsi="宋体" w:cs="宋体"/>
          <w:b/>
          <w:bCs/>
          <w:color w:val="3E3E3E"/>
          <w:kern w:val="0"/>
          <w:sz w:val="32"/>
          <w:szCs w:val="32"/>
          <w:highlight w:val="none"/>
        </w:rPr>
      </w:pPr>
      <w:r>
        <w:rPr>
          <w:rFonts w:hint="eastAsia" w:ascii="宋体" w:hAnsi="宋体" w:cs="宋体"/>
          <w:b/>
          <w:bCs/>
          <w:color w:val="3E3E3E"/>
          <w:kern w:val="0"/>
          <w:sz w:val="32"/>
          <w:szCs w:val="32"/>
          <w:highlight w:val="none"/>
        </w:rPr>
        <w:t>一、主要职能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长春市军队离休退休干部绿园休养所在市退役军人事务局的领导下贯彻落实党和政府有关军休干部工作的方针、政策。主要职能是认真贯彻国家有关军队离退休干部工作的方针、政策，以落实军休干部的政治待遇、生活待遇为总的工作目标，做好服务管理工作。</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textAlignment w:val="auto"/>
        <w:rPr>
          <w:rFonts w:hint="eastAsia" w:ascii="宋体" w:hAnsi="宋体" w:cs="宋体"/>
          <w:b/>
          <w:bCs/>
          <w:color w:val="3E3E3E"/>
          <w:kern w:val="0"/>
          <w:sz w:val="32"/>
          <w:szCs w:val="32"/>
          <w:highlight w:val="none"/>
        </w:rPr>
      </w:pPr>
      <w:r>
        <w:rPr>
          <w:rFonts w:hint="eastAsia" w:ascii="宋体" w:hAnsi="宋体" w:cs="宋体"/>
          <w:b/>
          <w:bCs/>
          <w:color w:val="3E3E3E"/>
          <w:kern w:val="0"/>
          <w:sz w:val="32"/>
          <w:szCs w:val="32"/>
          <w:highlight w:val="none"/>
        </w:rPr>
        <w:t>二、机构设置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本所领导班子由党委书记、所长一名，党委副书记一名；共两人组成。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本所设置三个职能部门，包括办公室、组织宣传科、生活服务科。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（一）军休所党委书记、副书记岗位职责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在上级党委领导下做好休养所的思想政治工作和党务工作，其主要职责是：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1.按照党的中心任务要求，带领全所工休人员认真贯彻执行好党的路线、方针、政策，同党中央保持一致。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2.抓好思想作风建设，搞好党员教育，落实党的思想建设规划和制度，加强党员日常管理，确保党员模范作用的发挥。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3.抓好组织建设，落实党的组织建设规划、年度计划、实施党建工作制度化、标准化管理，按照党建工作的要求发挥好基层党支部的作用。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4.发挥党组织的保证监督作用，抓好民主建设，定期召开党的民主生活会，经常检查班子成员廉洁自律情况，促进班子建设，经常深入休干中听取意见，不断改进工作。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5.抓好荣辱观教育，负责精神文明建设，落实精神文明建设规划、年度计划。抓好工休人员文化娱乐活动，活跃工休人员的精神文化生活。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6.落实好上级党委布置的工作任务和所党委工作规划、年度计划，并抓好各项工作的总结，典型总结，以及对外宣传报道等工作。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7.抓好财务工作，掌握休养所资金、物资运作情况，主持编制行政财务预算和固定资产维修经费预算。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8.负责本所党的组织建设、党员队伍的教育管理和入党积极分子的培养与考察。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　　9.负责抓好党的纪律监察工作。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（二）办公室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办公室是休养所的综合部门，负责军休所的日常行政管理和服务保障工作。其主要职责是：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 xml:space="preserve">1.负责军休所日常行政管理工作的落实和督办，做好有关会议的会务协调保障工作。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2.负责军休所收、发文件的处理、督办工作及保密工作。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3.负责起草军休所工作计划、总结等文字材料。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4.负责调查研究，了解掌握有关工作情况，综合分析、及时反馈，为领导决策当好参谋助手。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5.负责本单位档案室的建设管理，负责对文书、财务、房屋和设备档案的收集、整理、归档、立卷及日常管理工作。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6.负责临时用工人员的管理工作，做好服务工作，抓好办公楼（室)、食堂、车库、庭院的卫生，院内美化及办公秩序管理工作。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7.负责军休所的房产、煤气、水、电的使用、治安保卫、四防安全等管理工作，协调公用企业做好供水、供热等保障工作。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8.协助财务做好固定资产的清点工作。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9.负责处理“三来”，即来信、来访、来电及对外接待工作。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10.完成所领导临时交办的其他工作。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（三）生活服务科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生活服务科是做好军休干部日常服务管理工作的核心部门。其职责是：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1.负责接收军休干部，办理军休干部优抚、伤残、荣誉有关证件，负责办理军休干部病故后的各种手续。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2.负责军休所社会化服务建设，坚持共性服务和个性化服务相结合，拓展社会化服务，力争提高服务管理的质量。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3.协调做好军休干部的医疗保障工作，负责办理军休干部参加医疗保险相关手续，协调军休干部的体检、疗养、离休干部定点医院的选定工作，宣传医疗保健、卫生防病知识，协助和指导军休干部做好医疗工作，为军休干部医疗费报销和治疗创造方便条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4.对高龄、失能、空巢的军休干部要重点照顾，采取定期联系、定人包户等工作方式，鼓励社会工作者、心理咨询人员等为休干提供及时方便的日常服务保障。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5.负责军休所的日常会计核算、资产管理及职工工资待遇的落实。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6.负责军休所活动场所的管理工作。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7.完成所领导交办的其他工作。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（四）组织宣传科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组宣科是党委的日常办事机构。其职责是: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1.负责军休所日常党务和纪检工作。主要抓好政治建设、组织建设、思想建设、作风建设、纪律建设、制度建设。组织职工和军休干部的政治学习和思想教育，制定学习计划，组织离退休干部阅读文件、过好党的组织生活、参加政治活动，慰问离退休干部，全面落实好军休干部政治待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2.负责军休干部及职工党员干部队伍建设；负责做好入党积极分子的考察、教育和培养工作，按计划发展党员；负责党籍管理、党内统计，做好党费收缴、使用和管理工作，及时接转党的组织关系；抓好民主评议党员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3.负责抓好对党支部的调查研究和工作指导，认真抓好党委工作目标管理考核项目的落实，及时传达上级有关精神，做好走访、慰问、扶贫等工作，当好党委的参谋助手。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4.负责军休所的人事劳资工作，负责本单位的职工招聘、培训、推荐、测评、考核的组织工作以及对干部的管理、监督工作；负责办理本单位管理的人员调整、外调、工资审核和调整、职称评聘申报等手续；承担本单位的干部人事报表、年报的填报以及干部档案管理、离退休职工的管理等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5.负责组织开展适合军休干部的文化体育活动，引导和鼓励军休干部融入社会，余热生辉。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6.负责军休所信息报道工作。军休所的文字、图片及其他材料，经组宣科审核、所领导签阅后方可上传。负责行政报刊、学习材料等的订阅和发放工作。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7.负责组织并实施党组织换届选举工作，做好党的大会、民主生活会、组织生活会等党的会议工作。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8.负责所领导交办的其他工作。</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textAlignment w:val="auto"/>
        <w:rPr>
          <w:rFonts w:hint="eastAsia" w:ascii="宋体" w:hAnsi="宋体" w:cs="宋体"/>
          <w:b/>
          <w:bCs/>
          <w:color w:val="3E3E3E"/>
          <w:kern w:val="0"/>
          <w:sz w:val="32"/>
          <w:szCs w:val="32"/>
          <w:highlight w:val="none"/>
        </w:rPr>
      </w:pPr>
      <w:r>
        <w:rPr>
          <w:rFonts w:hint="eastAsia" w:ascii="宋体" w:hAnsi="宋体" w:cs="宋体"/>
          <w:b/>
          <w:bCs/>
          <w:color w:val="3E3E3E"/>
          <w:kern w:val="0"/>
          <w:sz w:val="32"/>
          <w:szCs w:val="32"/>
          <w:highlight w:val="none"/>
        </w:rPr>
        <w:t>三、部门预算基本情况</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（一）部门预算单位构成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长春市军队离休退休干部绿园休养所共计 1个预算单位。</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（二）预算单位人员构成情况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长春市军队离休退休干部绿园休养所单位现有人员</w:t>
      </w:r>
      <w:r>
        <w:rPr>
          <w:rFonts w:hint="eastAsia" w:ascii="仿宋_GB2312" w:hAnsi="仿宋" w:eastAsia="仿宋_GB2312" w:cs="仿宋_GB2312"/>
          <w:sz w:val="32"/>
          <w:szCs w:val="32"/>
          <w:highlight w:val="none"/>
          <w:lang w:val="en-US" w:eastAsia="zh-CN"/>
        </w:rPr>
        <w:t>43</w:t>
      </w:r>
      <w:r>
        <w:rPr>
          <w:rFonts w:hint="eastAsia" w:ascii="仿宋_GB2312" w:hAnsi="仿宋" w:eastAsia="仿宋_GB2312" w:cs="仿宋_GB2312"/>
          <w:sz w:val="32"/>
          <w:szCs w:val="32"/>
          <w:highlight w:val="none"/>
          <w:lang w:eastAsia="zh-CN"/>
        </w:rPr>
        <w:t>人，其中在职人员</w:t>
      </w:r>
      <w:r>
        <w:rPr>
          <w:rFonts w:hint="eastAsia" w:ascii="仿宋_GB2312" w:hAnsi="仿宋" w:eastAsia="仿宋_GB2312" w:cs="仿宋_GB2312"/>
          <w:sz w:val="32"/>
          <w:szCs w:val="32"/>
          <w:highlight w:val="none"/>
          <w:lang w:val="en-US" w:eastAsia="zh-CN"/>
        </w:rPr>
        <w:t>24</w:t>
      </w:r>
      <w:r>
        <w:rPr>
          <w:rFonts w:hint="eastAsia" w:ascii="仿宋_GB2312" w:hAnsi="仿宋" w:eastAsia="仿宋_GB2312" w:cs="仿宋_GB2312"/>
          <w:sz w:val="32"/>
          <w:szCs w:val="32"/>
          <w:highlight w:val="none"/>
          <w:lang w:eastAsia="zh-CN"/>
        </w:rPr>
        <w:t>人，离退休人员1</w:t>
      </w:r>
      <w:r>
        <w:rPr>
          <w:rFonts w:hint="eastAsia" w:ascii="仿宋_GB2312" w:hAnsi="仿宋" w:eastAsia="仿宋_GB2312" w:cs="仿宋_GB2312"/>
          <w:sz w:val="32"/>
          <w:szCs w:val="32"/>
          <w:highlight w:val="none"/>
          <w:lang w:val="en-US" w:eastAsia="zh-CN"/>
        </w:rPr>
        <w:t>9</w:t>
      </w:r>
      <w:r>
        <w:rPr>
          <w:rFonts w:hint="eastAsia" w:ascii="仿宋_GB2312" w:hAnsi="仿宋" w:eastAsia="仿宋_GB2312" w:cs="仿宋_GB2312"/>
          <w:sz w:val="32"/>
          <w:szCs w:val="32"/>
          <w:highlight w:val="none"/>
          <w:lang w:eastAsia="zh-CN"/>
        </w:rPr>
        <w:t>人。</w:t>
      </w: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widowControl/>
        <w:numPr>
          <w:ilvl w:val="0"/>
          <w:numId w:val="2"/>
        </w:numPr>
        <w:spacing w:line="360" w:lineRule="auto"/>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年度部门预算表</w:t>
      </w: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一、收支总表</w:t>
      </w:r>
    </w:p>
    <w:p>
      <w:pPr>
        <w:widowControl/>
        <w:spacing w:line="360" w:lineRule="auto"/>
        <w:jc w:val="center"/>
        <w:rPr>
          <w:rFonts w:hint="eastAsia" w:ascii="宋体" w:hAnsi="Times New Roman" w:cs="宋体"/>
          <w:b/>
          <w:w w:val="95"/>
          <w:kern w:val="0"/>
          <w:sz w:val="24"/>
          <w:szCs w:val="24"/>
          <w:highlight w:val="none"/>
        </w:rPr>
      </w:pPr>
      <w:r>
        <w:rPr>
          <w:rFonts w:ascii="宋体" w:hAnsi="Times New Roman" w:cs="宋体"/>
          <w:b/>
          <w:w w:val="95"/>
          <w:kern w:val="0"/>
          <w:sz w:val="24"/>
          <w:szCs w:val="24"/>
          <w:highlight w:val="none"/>
        </w:rPr>
        <w:fldChar w:fldCharType="begin"/>
      </w:r>
      <w:r>
        <w:rPr>
          <w:rFonts w:ascii="宋体" w:hAnsi="Times New Roman" w:cs="宋体"/>
          <w:b/>
          <w:w w:val="95"/>
          <w:kern w:val="0"/>
          <w:sz w:val="24"/>
          <w:szCs w:val="24"/>
          <w:highlight w:val="none"/>
        </w:rPr>
        <w:instrText xml:space="preserve"> HYPERLINK "http://www.ccgxj.gov.cn/xxgkml/cwgk/201604/W020160405536935785252.xls" </w:instrText>
      </w:r>
      <w:r>
        <w:rPr>
          <w:rFonts w:ascii="宋体" w:hAnsi="Times New Roman" w:cs="宋体"/>
          <w:b/>
          <w:w w:val="95"/>
          <w:kern w:val="0"/>
          <w:sz w:val="24"/>
          <w:szCs w:val="24"/>
          <w:highlight w:val="none"/>
        </w:rPr>
        <w:fldChar w:fldCharType="separate"/>
      </w:r>
      <w:r>
        <w:rPr>
          <w:rFonts w:hint="eastAsia" w:ascii="宋体" w:hAnsi="Times New Roman" w:cs="宋体"/>
          <w:b/>
          <w:w w:val="95"/>
          <w:kern w:val="0"/>
          <w:sz w:val="24"/>
          <w:szCs w:val="24"/>
          <w:highlight w:val="none"/>
        </w:rPr>
        <w:t>收支总表</w:t>
      </w:r>
      <w:r>
        <w:rPr>
          <w:rFonts w:hint="eastAsia" w:ascii="宋体" w:hAnsi="Times New Roman" w:cs="宋体"/>
          <w:b/>
          <w:w w:val="95"/>
          <w:kern w:val="0"/>
          <w:sz w:val="24"/>
          <w:szCs w:val="24"/>
          <w:highlight w:val="none"/>
        </w:rPr>
        <w:fldChar w:fldCharType="end"/>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lang w:val="en-US" w:eastAsia="zh-CN"/>
        </w:rPr>
        <w:t xml:space="preserve">    </w:t>
      </w:r>
      <w:r>
        <w:rPr>
          <w:rFonts w:hint="eastAsia"/>
          <w:w w:val="95"/>
          <w:sz w:val="20"/>
          <w:szCs w:val="20"/>
          <w:highlight w:val="none"/>
        </w:rPr>
        <w:t>单位：万元</w:t>
      </w:r>
    </w:p>
    <w:tbl>
      <w:tblPr>
        <w:tblStyle w:val="4"/>
        <w:tblW w:w="89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1"/>
        <w:gridCol w:w="1336"/>
        <w:gridCol w:w="995"/>
        <w:gridCol w:w="914"/>
        <w:gridCol w:w="977"/>
        <w:gridCol w:w="1341"/>
        <w:gridCol w:w="900"/>
        <w:gridCol w:w="1037"/>
        <w:gridCol w:w="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84" w:type="dxa"/>
            <w:gridSpan w:val="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预算单位：长春市军队离休退休干部绿园休养所</w:t>
            </w:r>
          </w:p>
        </w:tc>
        <w:tc>
          <w:tcPr>
            <w:tcW w:w="1959"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序号</w:t>
            </w:r>
          </w:p>
        </w:tc>
        <w:tc>
          <w:tcPr>
            <w:tcW w:w="4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收                             入</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项                   目</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202</w:t>
            </w:r>
            <w:r>
              <w:rPr>
                <w:rFonts w:hint="eastAsia" w:ascii="Arial" w:hAnsi="Arial" w:cs="Arial"/>
                <w:b/>
                <w:bCs/>
                <w:i w:val="0"/>
                <w:iCs w:val="0"/>
                <w:color w:val="000000"/>
                <w:kern w:val="0"/>
                <w:sz w:val="20"/>
                <w:szCs w:val="20"/>
                <w:u w:val="none"/>
                <w:lang w:val="en-US" w:eastAsia="zh-CN" w:bidi="ar"/>
              </w:rPr>
              <w:t>3</w:t>
            </w:r>
            <w:r>
              <w:rPr>
                <w:rFonts w:hint="default" w:ascii="Arial" w:hAnsi="Arial" w:eastAsia="宋体" w:cs="Arial"/>
                <w:b/>
                <w:bCs/>
                <w:i w:val="0"/>
                <w:iCs w:val="0"/>
                <w:color w:val="000000"/>
                <w:kern w:val="0"/>
                <w:sz w:val="20"/>
                <w:szCs w:val="20"/>
                <w:u w:val="none"/>
                <w:lang w:val="en-US" w:eastAsia="zh-CN" w:bidi="ar"/>
              </w:rPr>
              <w:t>年预算数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当年预算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上年结转</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项                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202</w:t>
            </w:r>
            <w:r>
              <w:rPr>
                <w:rFonts w:hint="eastAsia" w:ascii="Arial" w:hAnsi="Arial" w:cs="Arial"/>
                <w:b/>
                <w:bCs/>
                <w:i w:val="0"/>
                <w:iCs w:val="0"/>
                <w:color w:val="000000"/>
                <w:kern w:val="0"/>
                <w:sz w:val="20"/>
                <w:szCs w:val="20"/>
                <w:u w:val="none"/>
                <w:lang w:val="en-US" w:eastAsia="zh-CN" w:bidi="ar"/>
              </w:rPr>
              <w:t>3</w:t>
            </w:r>
            <w:r>
              <w:rPr>
                <w:rFonts w:hint="default" w:ascii="Arial" w:hAnsi="Arial" w:eastAsia="宋体" w:cs="Arial"/>
                <w:b/>
                <w:bCs/>
                <w:i w:val="0"/>
                <w:iCs w:val="0"/>
                <w:color w:val="000000"/>
                <w:kern w:val="0"/>
                <w:sz w:val="20"/>
                <w:szCs w:val="20"/>
                <w:u w:val="none"/>
                <w:lang w:val="en-US" w:eastAsia="zh-CN" w:bidi="ar"/>
              </w:rPr>
              <w:t>年预算数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当年预算</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一、财政拨款收入</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569.59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416.59</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153.00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一、一般公共服务支出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一般公共预算拨款收入</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569.59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416.59</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153.00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二、外交支出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政府性基金预算拨款收入</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三、国防支出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国有资本经营预算拨款收入</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四、公共安全支出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二、财政专户管理资金收入</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五、教育支出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三、单位资金收入</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六、科学技术支出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事业收入</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七、文化旅游体育与传媒支出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事业单位经营收入</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八、社会保障和就业支出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526.18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373.18</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153</w:t>
            </w:r>
            <w:r>
              <w:rPr>
                <w:rFonts w:hint="default" w:ascii="Arial" w:hAnsi="Arial" w:eastAsia="宋体" w:cs="Arial"/>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上级补助收入</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九、社会保险基金支出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附属单位上缴收入</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十、卫生健康支出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18..90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18.90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其他收入</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十一、节能环保支出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十二、城乡社区支出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十三、农林水支出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十四、交通运输支出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十五、资源勘探工业信息等支出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十六、商业服务业等支出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十七、金融支出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十八、援助其他地区支出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十九、自然资源海洋气象等支出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二十、住房保障支出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24.51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24.51</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二十一、粮油物资储备支出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二十二、国有资本经营预算支出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二十三、灾害防治及应急管理支出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二十四、其他支出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本年收入合计</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569.59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416.59</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153.00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本年支出合计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569.59</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416.59</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153</w:t>
            </w:r>
            <w:r>
              <w:rPr>
                <w:rFonts w:hint="default" w:ascii="Arial" w:hAnsi="Arial" w:eastAsia="宋体" w:cs="Arial"/>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财政拨款结转</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结转下年支出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其他收入结转结余</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收入总计</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569.59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416.59</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153.00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支出总计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569.59</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416.59</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153.00</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二、收入总表</w:t>
      </w:r>
    </w:p>
    <w:p>
      <w:pPr>
        <w:widowControl/>
        <w:spacing w:line="360" w:lineRule="auto"/>
        <w:jc w:val="center"/>
        <w:rPr>
          <w:rFonts w:hint="eastAsia" w:ascii="宋体" w:hAnsi="Times New Roman" w:cs="宋体"/>
          <w:b/>
          <w:w w:val="95"/>
          <w:kern w:val="0"/>
          <w:sz w:val="24"/>
          <w:szCs w:val="24"/>
          <w:highlight w:val="none"/>
        </w:rPr>
      </w:pPr>
      <w:r>
        <w:rPr>
          <w:rFonts w:ascii="宋体" w:hAnsi="Times New Roman" w:cs="宋体"/>
          <w:b/>
          <w:w w:val="95"/>
          <w:kern w:val="0"/>
          <w:sz w:val="24"/>
          <w:szCs w:val="24"/>
          <w:highlight w:val="none"/>
        </w:rPr>
        <w:fldChar w:fldCharType="begin"/>
      </w:r>
      <w:r>
        <w:rPr>
          <w:rFonts w:ascii="宋体" w:hAnsi="Times New Roman" w:cs="宋体"/>
          <w:b/>
          <w:w w:val="95"/>
          <w:kern w:val="0"/>
          <w:sz w:val="24"/>
          <w:szCs w:val="24"/>
          <w:highlight w:val="none"/>
        </w:rPr>
        <w:instrText xml:space="preserve"> HYPERLINK "http://www.ccgxj.gov.cn/xxgkml/cwgk/201604/W020160405536935785252.xls" </w:instrText>
      </w:r>
      <w:r>
        <w:rPr>
          <w:rFonts w:ascii="宋体" w:hAnsi="Times New Roman" w:cs="宋体"/>
          <w:b/>
          <w:w w:val="95"/>
          <w:kern w:val="0"/>
          <w:sz w:val="24"/>
          <w:szCs w:val="24"/>
          <w:highlight w:val="none"/>
        </w:rPr>
        <w:fldChar w:fldCharType="separate"/>
      </w:r>
      <w:r>
        <w:rPr>
          <w:rFonts w:hint="eastAsia" w:ascii="宋体" w:hAnsi="Times New Roman" w:cs="宋体"/>
          <w:b/>
          <w:w w:val="95"/>
          <w:kern w:val="0"/>
          <w:sz w:val="24"/>
          <w:szCs w:val="24"/>
          <w:highlight w:val="none"/>
        </w:rPr>
        <w:t>收入总表</w:t>
      </w:r>
      <w:r>
        <w:rPr>
          <w:rFonts w:hint="eastAsia" w:ascii="宋体" w:hAnsi="Times New Roman" w:cs="宋体"/>
          <w:b/>
          <w:w w:val="95"/>
          <w:kern w:val="0"/>
          <w:sz w:val="24"/>
          <w:szCs w:val="24"/>
          <w:highlight w:val="none"/>
        </w:rPr>
        <w:fldChar w:fldCharType="end"/>
      </w:r>
    </w:p>
    <w:p>
      <w:pPr>
        <w:pStyle w:val="3"/>
        <w:kinsoku w:val="0"/>
        <w:overflowPunct w:val="0"/>
        <w:ind w:left="2364"/>
        <w:jc w:val="right"/>
        <w:rPr>
          <w:rFonts w:hint="eastAsia" w:ascii="仿宋" w:hAnsi="仿宋" w:eastAsia="宋体" w:cs="仿宋"/>
          <w:bCs/>
          <w:color w:val="000000"/>
          <w:sz w:val="32"/>
          <w:szCs w:val="32"/>
          <w:highlight w:val="none"/>
          <w:lang w:val="en-US" w:eastAsia="zh-CN"/>
        </w:rPr>
      </w:pPr>
      <w:r>
        <w:rPr>
          <w:rFonts w:hint="eastAsia"/>
          <w:w w:val="95"/>
          <w:sz w:val="20"/>
          <w:szCs w:val="20"/>
          <w:highlight w:val="none"/>
        </w:rPr>
        <w:t>单位：万</w:t>
      </w:r>
      <w:r>
        <w:rPr>
          <w:rFonts w:hint="eastAsia"/>
          <w:w w:val="95"/>
          <w:sz w:val="20"/>
          <w:szCs w:val="20"/>
          <w:highlight w:val="none"/>
          <w:lang w:val="en-US" w:eastAsia="zh-CN"/>
        </w:rPr>
        <w:t>元</w:t>
      </w:r>
    </w:p>
    <w:tbl>
      <w:tblPr>
        <w:tblStyle w:val="4"/>
        <w:tblW w:w="6645" w:type="pct"/>
        <w:tblInd w:w="-1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0"/>
        <w:gridCol w:w="386"/>
        <w:gridCol w:w="737"/>
        <w:gridCol w:w="717"/>
        <w:gridCol w:w="683"/>
        <w:gridCol w:w="700"/>
        <w:gridCol w:w="550"/>
        <w:gridCol w:w="517"/>
        <w:gridCol w:w="483"/>
        <w:gridCol w:w="467"/>
        <w:gridCol w:w="550"/>
        <w:gridCol w:w="500"/>
        <w:gridCol w:w="450"/>
        <w:gridCol w:w="483"/>
        <w:gridCol w:w="650"/>
        <w:gridCol w:w="650"/>
        <w:gridCol w:w="467"/>
        <w:gridCol w:w="450"/>
        <w:gridCol w:w="600"/>
        <w:gridCol w:w="516"/>
        <w:gridCol w:w="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序号</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部门（单位）代码</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部门（单位）名称</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合计</w:t>
            </w:r>
          </w:p>
        </w:tc>
        <w:tc>
          <w:tcPr>
            <w:tcW w:w="53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当年预算</w:t>
            </w:r>
          </w:p>
        </w:tc>
        <w:tc>
          <w:tcPr>
            <w:tcW w:w="38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小计</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一般公共预算</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政府性基金预算</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国有资本经营预算</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财政专户管理资金</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事业收入</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事业单位经营收入</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上级补助收入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附属单位上缴收入</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其他收入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小计</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eastAsia" w:ascii="宋体" w:hAnsi="宋体" w:eastAsia="宋体" w:cs="宋体"/>
                <w:b/>
                <w:bCs/>
                <w:i w:val="0"/>
                <w:iCs w:val="0"/>
                <w:color w:val="000000"/>
                <w:kern w:val="0"/>
                <w:sz w:val="20"/>
                <w:szCs w:val="20"/>
                <w:u w:val="none"/>
                <w:lang w:val="en-US" w:eastAsia="zh-CN" w:bidi="ar"/>
              </w:rPr>
              <w:t>一般公共预算拨款结转</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政府性基金预算拨款结转</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国有资本经营预算拨款结转</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财政专户管理资金结转结余</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单位资金结转结余</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u w:val="none"/>
                <w:lang w:val="en-US" w:eastAsia="zh-CN" w:bidi="ar"/>
              </w:rPr>
              <w:t>1</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u w:val="none"/>
                <w:lang w:val="en-US" w:eastAsia="zh-CN" w:bidi="ar"/>
              </w:rPr>
              <w:t>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5"/>
                <w:szCs w:val="15"/>
                <w:highlight w:val="none"/>
                <w:u w:val="none"/>
                <w:lang w:val="en-US"/>
              </w:rPr>
            </w:pPr>
            <w:r>
              <w:rPr>
                <w:rFonts w:hint="eastAsia" w:ascii="Arial" w:hAnsi="Arial" w:cs="Arial"/>
                <w:i w:val="0"/>
                <w:iCs w:val="0"/>
                <w:color w:val="000000"/>
                <w:kern w:val="0"/>
                <w:sz w:val="15"/>
                <w:szCs w:val="15"/>
                <w:u w:val="none"/>
                <w:lang w:val="en-US" w:eastAsia="zh-CN" w:bidi="ar"/>
              </w:rPr>
              <w:t>569.59</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5"/>
                <w:szCs w:val="15"/>
                <w:highlight w:val="none"/>
                <w:u w:val="none"/>
                <w:lang w:val="en-US"/>
              </w:rPr>
            </w:pPr>
            <w:r>
              <w:rPr>
                <w:rFonts w:hint="eastAsia" w:ascii="Arial" w:hAnsi="Arial" w:cs="Arial"/>
                <w:i w:val="0"/>
                <w:iCs w:val="0"/>
                <w:color w:val="000000"/>
                <w:kern w:val="0"/>
                <w:sz w:val="15"/>
                <w:szCs w:val="15"/>
                <w:u w:val="none"/>
                <w:lang w:val="en-US" w:eastAsia="zh-CN" w:bidi="ar"/>
              </w:rPr>
              <w:t>416.59</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5"/>
                <w:szCs w:val="15"/>
                <w:highlight w:val="none"/>
                <w:u w:val="none"/>
                <w:lang w:val="en-US"/>
              </w:rPr>
            </w:pPr>
            <w:r>
              <w:rPr>
                <w:rFonts w:hint="eastAsia" w:ascii="Arial" w:hAnsi="Arial" w:cs="Arial"/>
                <w:i w:val="0"/>
                <w:iCs w:val="0"/>
                <w:color w:val="000000"/>
                <w:kern w:val="0"/>
                <w:sz w:val="15"/>
                <w:szCs w:val="15"/>
                <w:u w:val="none"/>
                <w:lang w:val="en-US" w:eastAsia="zh-CN" w:bidi="ar"/>
              </w:rPr>
              <w:t>416.56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6"/>
                <w:szCs w:val="6"/>
                <w:highlight w:val="none"/>
                <w:u w:val="none"/>
                <w:lang w:val="en-US"/>
              </w:rPr>
            </w:pPr>
            <w:r>
              <w:rPr>
                <w:rFonts w:hint="eastAsia" w:ascii="Arial" w:hAnsi="Arial" w:cs="Arial"/>
                <w:i w:val="0"/>
                <w:iCs w:val="0"/>
                <w:color w:val="000000"/>
                <w:kern w:val="0"/>
                <w:sz w:val="13"/>
                <w:szCs w:val="13"/>
                <w:u w:val="none"/>
                <w:lang w:val="en-US" w:eastAsia="zh-CN" w:bidi="ar"/>
              </w:rPr>
              <w:t>153.00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6"/>
                <w:szCs w:val="6"/>
                <w:highlight w:val="none"/>
                <w:u w:val="none"/>
                <w:lang w:val="en-US"/>
              </w:rPr>
            </w:pPr>
            <w:r>
              <w:rPr>
                <w:rFonts w:hint="eastAsia" w:ascii="Arial" w:hAnsi="Arial" w:cs="Arial"/>
                <w:i w:val="0"/>
                <w:iCs w:val="0"/>
                <w:color w:val="000000"/>
                <w:kern w:val="0"/>
                <w:sz w:val="13"/>
                <w:szCs w:val="13"/>
                <w:u w:val="none"/>
                <w:lang w:val="en-US" w:eastAsia="zh-CN" w:bidi="ar"/>
              </w:rPr>
              <w:t>153.00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u w:val="none"/>
                <w:lang w:val="en-US" w:eastAsia="zh-CN" w:bidi="ar"/>
              </w:rPr>
              <w:t>2</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u w:val="none"/>
                <w:lang w:val="en-US" w:eastAsia="zh-CN" w:bidi="ar"/>
              </w:rPr>
              <w:t>313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u w:val="none"/>
                <w:lang w:val="en-US" w:eastAsia="zh-CN" w:bidi="ar"/>
              </w:rPr>
              <w:t>长春市退役军人事务局</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5"/>
                <w:szCs w:val="15"/>
                <w:highlight w:val="none"/>
                <w:u w:val="none"/>
                <w:lang w:val="en-US"/>
              </w:rPr>
            </w:pPr>
            <w:r>
              <w:rPr>
                <w:rFonts w:hint="eastAsia" w:ascii="Arial" w:hAnsi="Arial" w:cs="Arial"/>
                <w:i w:val="0"/>
                <w:iCs w:val="0"/>
                <w:color w:val="000000"/>
                <w:kern w:val="0"/>
                <w:sz w:val="15"/>
                <w:szCs w:val="15"/>
                <w:u w:val="none"/>
                <w:lang w:val="en-US" w:eastAsia="zh-CN" w:bidi="ar"/>
              </w:rPr>
              <w:t>569.59</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5"/>
                <w:szCs w:val="15"/>
                <w:highlight w:val="none"/>
                <w:u w:val="none"/>
                <w:lang w:val="en-US" w:eastAsia="zh-CN"/>
              </w:rPr>
            </w:pPr>
            <w:r>
              <w:rPr>
                <w:rFonts w:hint="eastAsia" w:ascii="宋体" w:hAnsi="宋体" w:cs="宋体"/>
                <w:i w:val="0"/>
                <w:iCs w:val="0"/>
                <w:color w:val="000000"/>
                <w:sz w:val="15"/>
                <w:szCs w:val="15"/>
                <w:highlight w:val="none"/>
                <w:u w:val="none"/>
                <w:lang w:val="en-US" w:eastAsia="zh-CN"/>
              </w:rPr>
              <w:t>416.59</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5"/>
                <w:szCs w:val="15"/>
                <w:highlight w:val="none"/>
                <w:u w:val="none"/>
                <w:lang w:val="en-US"/>
              </w:rPr>
            </w:pPr>
            <w:r>
              <w:rPr>
                <w:rFonts w:hint="eastAsia" w:ascii="Arial" w:hAnsi="Arial" w:cs="Arial"/>
                <w:i w:val="0"/>
                <w:iCs w:val="0"/>
                <w:color w:val="000000"/>
                <w:kern w:val="0"/>
                <w:sz w:val="15"/>
                <w:szCs w:val="15"/>
                <w:u w:val="none"/>
                <w:lang w:val="en-US" w:eastAsia="zh-CN" w:bidi="ar"/>
              </w:rPr>
              <w:t>416.59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6"/>
                <w:szCs w:val="6"/>
                <w:highlight w:val="none"/>
                <w:u w:val="none"/>
                <w:lang w:val="en-US"/>
              </w:rPr>
            </w:pPr>
            <w:r>
              <w:rPr>
                <w:rFonts w:hint="eastAsia" w:ascii="Arial" w:hAnsi="Arial" w:cs="Arial"/>
                <w:i w:val="0"/>
                <w:iCs w:val="0"/>
                <w:color w:val="000000"/>
                <w:kern w:val="0"/>
                <w:sz w:val="13"/>
                <w:szCs w:val="13"/>
                <w:u w:val="none"/>
                <w:lang w:val="en-US" w:eastAsia="zh-CN" w:bidi="ar"/>
              </w:rPr>
              <w:t>153.00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6"/>
                <w:szCs w:val="6"/>
                <w:highlight w:val="none"/>
                <w:u w:val="none"/>
                <w:lang w:val="en-US"/>
              </w:rPr>
            </w:pPr>
            <w:r>
              <w:rPr>
                <w:rFonts w:hint="eastAsia" w:ascii="Arial" w:hAnsi="Arial" w:cs="Arial"/>
                <w:i w:val="0"/>
                <w:iCs w:val="0"/>
                <w:color w:val="000000"/>
                <w:kern w:val="0"/>
                <w:sz w:val="13"/>
                <w:szCs w:val="13"/>
                <w:u w:val="none"/>
                <w:lang w:val="en-US" w:eastAsia="zh-CN" w:bidi="ar"/>
              </w:rPr>
              <w:t>153.00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u w:val="none"/>
                <w:lang w:val="en-US" w:eastAsia="zh-CN" w:bidi="ar"/>
              </w:rPr>
              <w:t>3</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u w:val="none"/>
                <w:lang w:val="en-US" w:eastAsia="zh-CN" w:bidi="ar"/>
              </w:rPr>
              <w:t>313002003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长春市军队离休退休干部绿园休养所</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5"/>
                <w:szCs w:val="15"/>
                <w:highlight w:val="none"/>
                <w:u w:val="none"/>
                <w:lang w:val="en-US"/>
              </w:rPr>
            </w:pPr>
            <w:r>
              <w:rPr>
                <w:rFonts w:hint="eastAsia" w:ascii="Arial" w:hAnsi="Arial" w:cs="Arial"/>
                <w:i w:val="0"/>
                <w:iCs w:val="0"/>
                <w:color w:val="000000"/>
                <w:kern w:val="0"/>
                <w:sz w:val="15"/>
                <w:szCs w:val="15"/>
                <w:u w:val="none"/>
                <w:lang w:val="en-US" w:eastAsia="zh-CN" w:bidi="ar"/>
              </w:rPr>
              <w:t>569.59</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5"/>
                <w:szCs w:val="15"/>
                <w:highlight w:val="none"/>
                <w:u w:val="none"/>
                <w:lang w:val="en-US"/>
              </w:rPr>
            </w:pPr>
            <w:r>
              <w:rPr>
                <w:rFonts w:hint="eastAsia" w:ascii="Arial" w:hAnsi="Arial" w:cs="Arial"/>
                <w:i w:val="0"/>
                <w:iCs w:val="0"/>
                <w:color w:val="000000"/>
                <w:kern w:val="0"/>
                <w:sz w:val="15"/>
                <w:szCs w:val="15"/>
                <w:u w:val="none"/>
                <w:lang w:val="en-US" w:eastAsia="zh-CN" w:bidi="ar"/>
              </w:rPr>
              <w:t>416.59</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5"/>
                <w:szCs w:val="15"/>
                <w:highlight w:val="none"/>
                <w:u w:val="none"/>
                <w:lang w:val="en-US"/>
              </w:rPr>
            </w:pPr>
            <w:r>
              <w:rPr>
                <w:rFonts w:hint="eastAsia" w:ascii="Arial" w:hAnsi="Arial" w:cs="Arial"/>
                <w:i w:val="0"/>
                <w:iCs w:val="0"/>
                <w:color w:val="000000"/>
                <w:kern w:val="0"/>
                <w:sz w:val="15"/>
                <w:szCs w:val="15"/>
                <w:u w:val="none"/>
                <w:lang w:val="en-US" w:eastAsia="zh-CN" w:bidi="ar"/>
              </w:rPr>
              <w:t>416.59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eastAsia" w:ascii="Arial" w:hAnsi="Arial" w:cs="Arial"/>
                <w:i w:val="0"/>
                <w:iCs w:val="0"/>
                <w:color w:val="000000"/>
                <w:kern w:val="0"/>
                <w:sz w:val="13"/>
                <w:szCs w:val="13"/>
                <w:u w:val="none"/>
                <w:lang w:val="en-US" w:eastAsia="zh-CN" w:bidi="ar"/>
              </w:rPr>
              <w:t>153.0</w:t>
            </w:r>
            <w:r>
              <w:rPr>
                <w:rFonts w:hint="default" w:ascii="Arial" w:hAnsi="Arial" w:eastAsia="宋体" w:cs="Arial"/>
                <w:i w:val="0"/>
                <w:iCs w:val="0"/>
                <w:color w:val="000000"/>
                <w:kern w:val="0"/>
                <w:sz w:val="13"/>
                <w:szCs w:val="13"/>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6"/>
                <w:szCs w:val="6"/>
                <w:highlight w:val="none"/>
                <w:u w:val="none"/>
                <w:lang w:val="en-US"/>
              </w:rPr>
            </w:pPr>
            <w:r>
              <w:rPr>
                <w:rFonts w:hint="eastAsia" w:ascii="Arial" w:hAnsi="Arial" w:cs="Arial"/>
                <w:i w:val="0"/>
                <w:iCs w:val="0"/>
                <w:color w:val="000000"/>
                <w:kern w:val="0"/>
                <w:sz w:val="13"/>
                <w:szCs w:val="13"/>
                <w:u w:val="none"/>
                <w:lang w:val="en-US" w:eastAsia="zh-CN" w:bidi="ar"/>
              </w:rPr>
              <w:t>153.00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4"/>
                <w:szCs w:val="4"/>
                <w:highlight w:val="none"/>
                <w:u w:val="none"/>
              </w:rPr>
            </w:pPr>
            <w:r>
              <w:rPr>
                <w:rFonts w:hint="default" w:ascii="Arial" w:hAnsi="Arial" w:eastAsia="宋体" w:cs="Arial"/>
                <w:i w:val="0"/>
                <w:iCs w:val="0"/>
                <w:color w:val="000000"/>
                <w:kern w:val="0"/>
                <w:sz w:val="11"/>
                <w:szCs w:val="11"/>
                <w:u w:val="none"/>
                <w:lang w:val="en-US" w:eastAsia="zh-CN" w:bidi="ar"/>
              </w:rPr>
              <w:t>0.00</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三、支出总表</w:t>
      </w:r>
    </w:p>
    <w:p>
      <w:pPr>
        <w:widowControl/>
        <w:spacing w:line="360" w:lineRule="auto"/>
        <w:jc w:val="center"/>
        <w:rPr>
          <w:rFonts w:hint="eastAsia" w:ascii="宋体" w:hAnsi="Times New Roman" w:cs="宋体"/>
          <w:b/>
          <w:w w:val="95"/>
          <w:kern w:val="0"/>
          <w:sz w:val="24"/>
          <w:szCs w:val="24"/>
          <w:highlight w:val="none"/>
        </w:rPr>
      </w:pPr>
      <w:r>
        <w:rPr>
          <w:rFonts w:hint="eastAsia" w:ascii="宋体" w:hAnsi="Times New Roman" w:cs="宋体"/>
          <w:b/>
          <w:w w:val="95"/>
          <w:kern w:val="0"/>
          <w:sz w:val="24"/>
          <w:szCs w:val="24"/>
          <w:highlight w:val="none"/>
        </w:rPr>
        <w:t>支出总表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877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3"/>
        <w:gridCol w:w="1125"/>
        <w:gridCol w:w="1710"/>
        <w:gridCol w:w="1005"/>
        <w:gridCol w:w="952"/>
        <w:gridCol w:w="980"/>
        <w:gridCol w:w="800"/>
        <w:gridCol w:w="816"/>
        <w:gridCol w:w="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5" w:type="dxa"/>
            <w:gridSpan w:val="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预算单位：长春市军队离休退休干部绿园休养所</w:t>
            </w:r>
          </w:p>
        </w:tc>
        <w:tc>
          <w:tcPr>
            <w:tcW w:w="1733"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科目编码</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功能分类科目名称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合计</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基本支出</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项目支出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事业单位经营支出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上缴</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7"/>
                <w:lang w:val="en-US" w:eastAsia="zh-CN" w:bidi="ar"/>
              </w:rPr>
              <w:t>上级支出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合计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569.59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265.59</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304.00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社会保障和就业支出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526.18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222.18</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304.00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20805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行政事业单位养老支出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24.57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24.57</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2080505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both"/>
              <w:textAlignment w:val="center"/>
              <w:rPr>
                <w:rFonts w:hint="eastAsia"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事业单位离退休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0.38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0.38</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2080505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机关事业单位基本养老保险缴费支出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24.19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24.19</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20809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退役安置</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501.61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197.61</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304.00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2080902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军队移交政府离退休干部</w:t>
            </w:r>
            <w:r>
              <w:rPr>
                <w:rFonts w:hint="eastAsia" w:ascii="Arial" w:hAnsi="Arial" w:cs="Arial"/>
                <w:i w:val="0"/>
                <w:iCs w:val="0"/>
                <w:color w:val="000000"/>
                <w:kern w:val="0"/>
                <w:sz w:val="20"/>
                <w:szCs w:val="20"/>
                <w:u w:val="none"/>
                <w:lang w:val="en-US" w:eastAsia="zh-CN" w:bidi="ar"/>
              </w:rPr>
              <w:t>人员安置</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304.00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304.00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2080903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军队移交政府离退休干部管理机构</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197.61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197.61</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卫生健康支出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18.90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cs="Arial"/>
                <w:i w:val="0"/>
                <w:iCs w:val="0"/>
                <w:color w:val="000000"/>
                <w:kern w:val="0"/>
                <w:sz w:val="20"/>
                <w:szCs w:val="20"/>
                <w:u w:val="none"/>
                <w:lang w:val="en-US" w:eastAsia="zh-CN" w:bidi="ar"/>
              </w:rPr>
              <w:t>8.90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21011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行政事业单位医疗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sz w:val="20"/>
                <w:szCs w:val="20"/>
                <w:u w:val="none"/>
                <w:lang w:val="en-US" w:eastAsia="zh-CN"/>
              </w:rPr>
              <w:t>18.90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cs="Arial"/>
                <w:i w:val="0"/>
                <w:iCs w:val="0"/>
                <w:color w:val="000000"/>
                <w:kern w:val="0"/>
                <w:sz w:val="20"/>
                <w:szCs w:val="20"/>
                <w:u w:val="none"/>
                <w:lang w:val="en-US" w:eastAsia="zh-CN" w:bidi="ar"/>
              </w:rPr>
              <w:t>8.90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2101102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事业单位医疗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10.66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10.66</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2101103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公务员医疗补助</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8.24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8.24</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住房保障支出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24.51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24.51</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22102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住房改革支出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24.51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24.51</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2210201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住房公积金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24.51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24.51</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bl>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四、财政拨款收支总表</w:t>
      </w:r>
    </w:p>
    <w:p>
      <w:pPr>
        <w:widowControl/>
        <w:spacing w:line="360" w:lineRule="auto"/>
        <w:jc w:val="left"/>
        <w:rPr>
          <w:rFonts w:hint="eastAsia" w:ascii="宋体" w:hAnsi="Times New Roman" w:cs="宋体"/>
          <w:b/>
          <w:w w:val="95"/>
          <w:kern w:val="0"/>
          <w:sz w:val="24"/>
          <w:szCs w:val="24"/>
          <w:highlight w:val="none"/>
        </w:rPr>
      </w:pPr>
    </w:p>
    <w:p>
      <w:pPr>
        <w:pStyle w:val="6"/>
        <w:kinsoku w:val="0"/>
        <w:overflowPunct w:val="0"/>
        <w:spacing w:before="1" w:line="240" w:lineRule="auto"/>
        <w:ind w:left="2852"/>
        <w:outlineLvl w:val="9"/>
        <w:rPr>
          <w:rFonts w:ascii="宋体" w:eastAsia="宋体" w:cs="宋体"/>
          <w:b/>
          <w:w w:val="95"/>
          <w:sz w:val="24"/>
          <w:szCs w:val="24"/>
          <w:highlight w:val="none"/>
        </w:rPr>
      </w:pPr>
      <w:r>
        <w:rPr>
          <w:rFonts w:hint="eastAsia" w:ascii="宋体" w:eastAsia="宋体" w:cs="宋体"/>
          <w:b/>
          <w:w w:val="95"/>
          <w:sz w:val="24"/>
          <w:szCs w:val="24"/>
          <w:highlight w:val="none"/>
        </w:rPr>
        <w:t>财政拨款收支总表</w:t>
      </w:r>
    </w:p>
    <w:p>
      <w:pPr>
        <w:pStyle w:val="3"/>
        <w:kinsoku w:val="0"/>
        <w:overflowPunct w:val="0"/>
        <w:ind w:left="2364"/>
        <w:jc w:val="right"/>
        <w:rPr>
          <w:rFonts w:hint="eastAsia" w:eastAsia="宋体"/>
          <w:highlight w:val="none"/>
          <w:lang w:val="en-US" w:eastAsia="zh-CN"/>
        </w:rPr>
      </w:pPr>
      <w:r>
        <w:rPr>
          <w:rFonts w:hint="eastAsia"/>
          <w:w w:val="95"/>
          <w:sz w:val="20"/>
          <w:szCs w:val="20"/>
          <w:highlight w:val="none"/>
        </w:rPr>
        <w:t>单位：万元</w:t>
      </w:r>
    </w:p>
    <w:tbl>
      <w:tblPr>
        <w:tblStyle w:val="4"/>
        <w:tblW w:w="9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389"/>
        <w:gridCol w:w="954"/>
        <w:gridCol w:w="859"/>
        <w:gridCol w:w="997"/>
        <w:gridCol w:w="1450"/>
        <w:gridCol w:w="850"/>
        <w:gridCol w:w="984"/>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9" w:type="dxa"/>
            <w:gridSpan w:val="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预算单位：长春市军队离休退休干部绿园休养所</w:t>
            </w:r>
          </w:p>
        </w:tc>
        <w:tc>
          <w:tcPr>
            <w:tcW w:w="2317"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序号</w:t>
            </w:r>
          </w:p>
        </w:tc>
        <w:tc>
          <w:tcPr>
            <w:tcW w:w="41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收                             入</w:t>
            </w:r>
          </w:p>
        </w:tc>
        <w:tc>
          <w:tcPr>
            <w:tcW w:w="46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项                   目</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202</w:t>
            </w:r>
            <w:r>
              <w:rPr>
                <w:rFonts w:hint="eastAsia" w:ascii="Arial" w:hAnsi="Arial" w:cs="Arial"/>
                <w:b/>
                <w:bCs/>
                <w:i w:val="0"/>
                <w:iCs w:val="0"/>
                <w:color w:val="000000"/>
                <w:kern w:val="0"/>
                <w:sz w:val="20"/>
                <w:szCs w:val="20"/>
                <w:u w:val="none"/>
                <w:lang w:val="en-US" w:eastAsia="zh-CN" w:bidi="ar"/>
              </w:rPr>
              <w:t>3</w:t>
            </w:r>
            <w:r>
              <w:rPr>
                <w:rFonts w:hint="default" w:ascii="Arial" w:hAnsi="Arial" w:eastAsia="宋体" w:cs="Arial"/>
                <w:b/>
                <w:bCs/>
                <w:i w:val="0"/>
                <w:iCs w:val="0"/>
                <w:color w:val="000000"/>
                <w:kern w:val="0"/>
                <w:sz w:val="20"/>
                <w:szCs w:val="20"/>
                <w:u w:val="none"/>
                <w:lang w:val="en-US" w:eastAsia="zh-CN" w:bidi="ar"/>
              </w:rPr>
              <w:t>年预算数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当年预算</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上年结转</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项                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202</w:t>
            </w:r>
            <w:r>
              <w:rPr>
                <w:rFonts w:hint="eastAsia" w:ascii="Arial" w:hAnsi="Arial" w:cs="Arial"/>
                <w:b/>
                <w:bCs/>
                <w:i w:val="0"/>
                <w:iCs w:val="0"/>
                <w:color w:val="000000"/>
                <w:kern w:val="0"/>
                <w:sz w:val="20"/>
                <w:szCs w:val="20"/>
                <w:u w:val="none"/>
                <w:lang w:val="en-US" w:eastAsia="zh-CN" w:bidi="ar"/>
              </w:rPr>
              <w:t>3</w:t>
            </w:r>
            <w:r>
              <w:rPr>
                <w:rFonts w:hint="default" w:ascii="Arial" w:hAnsi="Arial" w:eastAsia="宋体" w:cs="Arial"/>
                <w:b/>
                <w:bCs/>
                <w:i w:val="0"/>
                <w:iCs w:val="0"/>
                <w:color w:val="000000"/>
                <w:kern w:val="0"/>
                <w:sz w:val="20"/>
                <w:szCs w:val="20"/>
                <w:u w:val="none"/>
                <w:lang w:val="en-US" w:eastAsia="zh-CN" w:bidi="ar"/>
              </w:rPr>
              <w:t>年预算数</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当年预算</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一、本年收入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569.59</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416.59</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153.00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一、本年支出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569.59</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416.59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153.00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一般公共预算拨款</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569.59</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416.59</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153.00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一、一般公共服务支出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政府性基金预算拨款</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二、外交支出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国有资本经营预算拨款</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三、国防支出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四、公共安全支出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五、教育支出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六、科学技术支出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七、文化旅游体育与传媒支出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八、社会保障和就业支出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526.18</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373.18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九、社会保险基金支出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十、卫生健康支出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18.90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18.90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十一、节能环保支出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十二、城乡社区支出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十三、农林水支出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十四、交通运输支出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十五、资源勘探工业信息等支出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十六、商业服务业等支出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十七、金融支出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十八、援助其他地区支出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十九、自然资源海洋气象等支出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二十、住房保障支出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24.51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24.51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二十一、粮油物资储备支出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二、上年结转</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二十二、国有资本经营预算支出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一般公共预算拨款</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二十三、灾害防治及应急管理支出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政府性基金预算拨款</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二十四、其他支出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国有资本经营预算拨款</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二、结转下年支出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收 入 总 计</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569.59</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416.59</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153.00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 出 总 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569.59</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416.59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153.00</w:t>
            </w:r>
          </w:p>
        </w:tc>
      </w:tr>
    </w:tbl>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五、本年</w:t>
      </w:r>
      <w:r>
        <w:rPr>
          <w:rFonts w:hint="eastAsia" w:ascii="仿宋_GB2312" w:hAnsi="仿宋" w:eastAsia="仿宋_GB2312" w:cs="仿宋_GB2312"/>
          <w:sz w:val="32"/>
          <w:szCs w:val="32"/>
          <w:highlight w:val="none"/>
          <w:lang w:eastAsia="zh-CN"/>
        </w:rPr>
        <w:t>一般公共预算支出表</w:t>
      </w:r>
    </w:p>
    <w:p>
      <w:pPr>
        <w:pStyle w:val="6"/>
        <w:kinsoku w:val="0"/>
        <w:overflowPunct w:val="0"/>
        <w:spacing w:before="1" w:line="240" w:lineRule="auto"/>
        <w:ind w:left="2852"/>
        <w:outlineLvl w:val="9"/>
        <w:rPr>
          <w:rFonts w:hint="eastAsia" w:ascii="宋体" w:eastAsia="宋体" w:cs="宋体"/>
          <w:b/>
          <w:w w:val="95"/>
          <w:sz w:val="24"/>
          <w:szCs w:val="24"/>
          <w:highlight w:val="none"/>
        </w:rPr>
      </w:pPr>
      <w:r>
        <w:rPr>
          <w:rFonts w:hint="eastAsia" w:ascii="宋体" w:eastAsia="宋体" w:cs="宋体"/>
          <w:b/>
          <w:w w:val="95"/>
          <w:sz w:val="24"/>
          <w:szCs w:val="24"/>
          <w:highlight w:val="none"/>
          <w:lang w:eastAsia="zh-CN"/>
        </w:rPr>
        <w:t>本年</w:t>
      </w:r>
      <w:r>
        <w:rPr>
          <w:rFonts w:hint="eastAsia" w:ascii="宋体" w:eastAsia="宋体" w:cs="宋体"/>
          <w:b/>
          <w:w w:val="95"/>
          <w:sz w:val="24"/>
          <w:szCs w:val="24"/>
          <w:highlight w:val="none"/>
        </w:rPr>
        <w:t>一般公共预算支出表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8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
        <w:gridCol w:w="1118"/>
        <w:gridCol w:w="1336"/>
        <w:gridCol w:w="975"/>
        <w:gridCol w:w="990"/>
        <w:gridCol w:w="1117"/>
        <w:gridCol w:w="1255"/>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58" w:type="dxa"/>
            <w:gridSpan w:val="6"/>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预算单位：长春市军队离休退休干部绿园休养所</w:t>
            </w:r>
          </w:p>
        </w:tc>
        <w:tc>
          <w:tcPr>
            <w:tcW w:w="2332"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序号</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科目编码</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功能分类科目名称</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合计</w:t>
            </w:r>
          </w:p>
        </w:tc>
        <w:tc>
          <w:tcPr>
            <w:tcW w:w="33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小计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人员经费</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公用经费</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569.59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265.59</w:t>
            </w:r>
            <w:r>
              <w:rPr>
                <w:rFonts w:hint="default" w:ascii="Arial" w:hAnsi="Arial" w:eastAsia="宋体" w:cs="Arial"/>
                <w:i w:val="0"/>
                <w:iCs w:val="0"/>
                <w:color w:val="000000"/>
                <w:kern w:val="0"/>
                <w:sz w:val="20"/>
                <w:szCs w:val="20"/>
                <w:u w:val="none"/>
                <w:lang w:val="en-US" w:eastAsia="zh-CN" w:bidi="ar"/>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228.54</w:t>
            </w:r>
            <w:r>
              <w:rPr>
                <w:rFonts w:hint="default" w:ascii="Arial" w:hAnsi="Arial" w:eastAsia="宋体" w:cs="Arial"/>
                <w:i w:val="0"/>
                <w:iCs w:val="0"/>
                <w:color w:val="000000"/>
                <w:kern w:val="0"/>
                <w:sz w:val="20"/>
                <w:szCs w:val="20"/>
                <w:u w:val="none"/>
                <w:lang w:val="en-US" w:eastAsia="zh-CN" w:bidi="ar"/>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37.05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304.00</w:t>
            </w:r>
            <w:r>
              <w:rPr>
                <w:rFonts w:hint="default" w:ascii="Arial" w:hAnsi="Arial" w:eastAsia="宋体" w:cs="Arial"/>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208</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社会保障和就业支出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526.18</w:t>
            </w:r>
            <w:r>
              <w:rPr>
                <w:rFonts w:hint="default" w:ascii="Arial" w:hAnsi="Arial" w:eastAsia="宋体" w:cs="Arial"/>
                <w:i w:val="0"/>
                <w:iCs w:val="0"/>
                <w:color w:val="000000"/>
                <w:kern w:val="0"/>
                <w:sz w:val="20"/>
                <w:szCs w:val="20"/>
                <w:u w:val="none"/>
                <w:lang w:val="en-US" w:eastAsia="zh-CN" w:bidi="ar"/>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222.18</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185.13</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37.05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304.00</w:t>
            </w:r>
            <w:r>
              <w:rPr>
                <w:rFonts w:hint="default" w:ascii="Arial" w:hAnsi="Arial" w:eastAsia="宋体" w:cs="Arial"/>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社会保障和就业支出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526.18</w:t>
            </w:r>
            <w:r>
              <w:rPr>
                <w:rFonts w:hint="default" w:ascii="Arial" w:hAnsi="Arial" w:eastAsia="宋体" w:cs="Arial"/>
                <w:i w:val="0"/>
                <w:iCs w:val="0"/>
                <w:color w:val="000000"/>
                <w:kern w:val="0"/>
                <w:sz w:val="20"/>
                <w:szCs w:val="20"/>
                <w:u w:val="none"/>
                <w:lang w:val="en-US" w:eastAsia="zh-CN" w:bidi="ar"/>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222.18</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185.13</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37.05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304.00</w:t>
            </w:r>
            <w:r>
              <w:rPr>
                <w:rFonts w:hint="default" w:ascii="Arial" w:hAnsi="Arial" w:eastAsia="宋体" w:cs="Arial"/>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2080505</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机关事业单位基本养老保险缴费支出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24.57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24.57</w:t>
            </w:r>
            <w:r>
              <w:rPr>
                <w:rFonts w:hint="default" w:ascii="Arial" w:hAnsi="Arial" w:eastAsia="宋体" w:cs="Arial"/>
                <w:i w:val="0"/>
                <w:iCs w:val="0"/>
                <w:color w:val="000000"/>
                <w:kern w:val="0"/>
                <w:sz w:val="20"/>
                <w:szCs w:val="20"/>
                <w:u w:val="none"/>
                <w:lang w:val="en-US" w:eastAsia="zh-CN" w:bidi="ar"/>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24.57</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2080902</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军队移交政府离退休干部</w:t>
            </w:r>
            <w:r>
              <w:rPr>
                <w:rFonts w:hint="eastAsia" w:ascii="Arial" w:hAnsi="Arial" w:cs="Arial"/>
                <w:i w:val="0"/>
                <w:iCs w:val="0"/>
                <w:color w:val="000000"/>
                <w:kern w:val="0"/>
                <w:sz w:val="20"/>
                <w:szCs w:val="20"/>
                <w:u w:val="none"/>
                <w:lang w:val="en-US" w:eastAsia="zh-CN" w:bidi="ar"/>
              </w:rPr>
              <w:t>人员安置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304.00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cs="Arial"/>
                <w:i w:val="0"/>
                <w:iCs w:val="0"/>
                <w:color w:val="000000"/>
                <w:kern w:val="0"/>
                <w:sz w:val="20"/>
                <w:szCs w:val="20"/>
                <w:u w:val="none"/>
                <w:lang w:val="en-US" w:eastAsia="zh-CN" w:bidi="ar"/>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cs="Arial"/>
                <w:i w:val="0"/>
                <w:iCs w:val="0"/>
                <w:color w:val="000000"/>
                <w:kern w:val="0"/>
                <w:sz w:val="20"/>
                <w:szCs w:val="20"/>
                <w:u w:val="none"/>
                <w:lang w:val="en-US" w:eastAsia="zh-CN" w:bidi="ar"/>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304.00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2080903</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军队移交政府离退休干部管理机构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lang w:val="en-US" w:eastAsia="zh-CN"/>
              </w:rPr>
              <w:t>197.61</w:t>
            </w:r>
            <w:r>
              <w:rPr>
                <w:rFonts w:hint="eastAsia"/>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197.61</w:t>
            </w:r>
            <w:r>
              <w:rPr>
                <w:rFonts w:hint="default" w:ascii="Arial" w:hAnsi="Arial" w:eastAsia="宋体" w:cs="Arial"/>
                <w:i w:val="0"/>
                <w:iCs w:val="0"/>
                <w:color w:val="000000"/>
                <w:kern w:val="0"/>
                <w:sz w:val="20"/>
                <w:szCs w:val="20"/>
                <w:u w:val="none"/>
                <w:lang w:val="en-US" w:eastAsia="zh-CN" w:bidi="ar"/>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160.56</w:t>
            </w:r>
            <w:r>
              <w:rPr>
                <w:rFonts w:hint="default" w:ascii="Arial" w:hAnsi="Arial" w:eastAsia="宋体" w:cs="Arial"/>
                <w:i w:val="0"/>
                <w:iCs w:val="0"/>
                <w:color w:val="000000"/>
                <w:kern w:val="0"/>
                <w:sz w:val="20"/>
                <w:szCs w:val="20"/>
                <w:u w:val="none"/>
                <w:lang w:val="en-US" w:eastAsia="zh-CN" w:bidi="ar"/>
              </w:rP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37.05</w:t>
            </w:r>
            <w:r>
              <w:rPr>
                <w:rFonts w:hint="default" w:ascii="Arial" w:hAnsi="Arial" w:eastAsia="宋体" w:cs="Arial"/>
                <w:i w:val="0"/>
                <w:iCs w:val="0"/>
                <w:color w:val="000000"/>
                <w:kern w:val="0"/>
                <w:sz w:val="20"/>
                <w:szCs w:val="20"/>
                <w:u w:val="none"/>
                <w:lang w:val="en-US" w:eastAsia="zh-CN" w:bidi="ar"/>
              </w:rPr>
              <w:t xml:space="preserve">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7</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卫生健康支出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18.90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18.90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18.90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卫生健康支出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18.90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18.90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18.90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2101102</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事业单位医疗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10.66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10.66</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10.66</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2101103</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公务员医疗补助</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8.24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8.24</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8.24</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cs="Arial"/>
                <w:i w:val="0"/>
                <w:iCs w:val="0"/>
                <w:color w:val="000000"/>
                <w:kern w:val="0"/>
                <w:sz w:val="20"/>
                <w:szCs w:val="20"/>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221</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住房保障支出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24.51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24.51</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24.51</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cs="Arial"/>
                <w:i w:val="0"/>
                <w:iCs w:val="0"/>
                <w:color w:val="000000"/>
                <w:kern w:val="0"/>
                <w:sz w:val="20"/>
                <w:szCs w:val="20"/>
                <w:u w:val="none"/>
                <w:lang w:val="en-US" w:eastAsia="zh-CN" w:bidi="ar"/>
              </w:rPr>
              <w:t>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住房保障支出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24.51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24.51</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24.51</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cs="Arial"/>
                <w:i w:val="0"/>
                <w:iCs w:val="0"/>
                <w:color w:val="000000"/>
                <w:kern w:val="0"/>
                <w:sz w:val="20"/>
                <w:szCs w:val="20"/>
                <w:u w:val="none"/>
                <w:lang w:val="en-US" w:eastAsia="zh-CN" w:bidi="ar"/>
              </w:rPr>
              <w:t>3</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2210201</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住房公积金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24.51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24.51</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24.51</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0.00 </w:t>
            </w:r>
          </w:p>
        </w:tc>
      </w:tr>
    </w:tbl>
    <w:p>
      <w:pPr>
        <w:spacing w:line="360" w:lineRule="auto"/>
        <w:rPr>
          <w:rFonts w:hint="eastAsia" w:ascii="仿宋_GB2312" w:hAnsi="仿宋" w:eastAsia="仿宋_GB2312" w:cs="仿宋_GB2312"/>
          <w:sz w:val="32"/>
          <w:szCs w:val="32"/>
          <w:highlight w:val="none"/>
          <w:lang w:val="en-US" w:eastAsia="zh-CN"/>
        </w:rPr>
      </w:pP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六、本年一般公共预算基本支出表</w:t>
      </w:r>
    </w:p>
    <w:p>
      <w:pPr>
        <w:pStyle w:val="6"/>
        <w:kinsoku w:val="0"/>
        <w:overflowPunct w:val="0"/>
        <w:spacing w:before="1" w:line="240" w:lineRule="auto"/>
        <w:ind w:left="2852"/>
        <w:outlineLvl w:val="9"/>
        <w:rPr>
          <w:rFonts w:hint="eastAsia" w:ascii="宋体" w:eastAsia="宋体" w:cs="宋体"/>
          <w:b/>
          <w:w w:val="95"/>
          <w:sz w:val="24"/>
          <w:szCs w:val="24"/>
          <w:highlight w:val="none"/>
        </w:rPr>
      </w:pPr>
      <w:r>
        <w:rPr>
          <w:rFonts w:hint="eastAsia" w:ascii="宋体" w:eastAsia="宋体" w:cs="宋体"/>
          <w:b/>
          <w:w w:val="95"/>
          <w:sz w:val="24"/>
          <w:szCs w:val="24"/>
          <w:highlight w:val="none"/>
          <w:lang w:eastAsia="zh-CN"/>
        </w:rPr>
        <w:t>本年</w:t>
      </w:r>
      <w:r>
        <w:rPr>
          <w:rFonts w:hint="eastAsia" w:ascii="宋体" w:eastAsia="宋体" w:cs="宋体"/>
          <w:b/>
          <w:w w:val="95"/>
          <w:sz w:val="24"/>
          <w:szCs w:val="24"/>
          <w:highlight w:val="none"/>
        </w:rPr>
        <w:t>一般公共预算基本支出表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82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276"/>
        <w:gridCol w:w="2115"/>
        <w:gridCol w:w="1200"/>
        <w:gridCol w:w="1377"/>
        <w:gridCol w:w="1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08" w:type="dxa"/>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预算单位：长春市军队离休退休干部绿园休养所</w:t>
            </w:r>
          </w:p>
        </w:tc>
        <w:tc>
          <w:tcPr>
            <w:tcW w:w="1745"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序号</w:t>
            </w:r>
          </w:p>
        </w:tc>
        <w:tc>
          <w:tcPr>
            <w:tcW w:w="127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科目编码</w:t>
            </w:r>
          </w:p>
        </w:tc>
        <w:tc>
          <w:tcPr>
            <w:tcW w:w="21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eastAsia" w:ascii="宋体" w:hAnsi="宋体" w:eastAsia="宋体" w:cs="宋体"/>
                <w:b/>
                <w:bCs/>
                <w:i w:val="0"/>
                <w:iCs w:val="0"/>
                <w:color w:val="000000"/>
                <w:kern w:val="0"/>
                <w:sz w:val="20"/>
                <w:szCs w:val="20"/>
                <w:highlight w:val="none"/>
                <w:u w:val="none"/>
                <w:lang w:val="en-US" w:eastAsia="zh-CN" w:bidi="ar"/>
              </w:rPr>
              <w:t>经济分类科目</w:t>
            </w:r>
          </w:p>
        </w:tc>
        <w:tc>
          <w:tcPr>
            <w:tcW w:w="12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合计</w:t>
            </w:r>
          </w:p>
        </w:tc>
        <w:tc>
          <w:tcPr>
            <w:tcW w:w="1377" w:type="dxa"/>
            <w:tcBorders>
              <w:top w:val="single" w:color="000000" w:sz="4" w:space="0"/>
              <w:left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u w:val="none"/>
              </w:rPr>
            </w:pPr>
            <w:r>
              <w:rPr>
                <w:rFonts w:hint="eastAsia" w:ascii="宋体" w:hAnsi="宋体" w:eastAsia="宋体" w:cs="宋体"/>
                <w:b/>
                <w:bCs/>
                <w:i w:val="0"/>
                <w:iCs w:val="0"/>
                <w:color w:val="000000"/>
                <w:kern w:val="0"/>
                <w:sz w:val="20"/>
                <w:szCs w:val="20"/>
                <w:highlight w:val="none"/>
                <w:u w:val="none"/>
                <w:lang w:val="en-US" w:eastAsia="zh-CN" w:bidi="ar"/>
              </w:rPr>
              <w:t>人员经费</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u w:val="none"/>
              </w:rPr>
            </w:pPr>
            <w:r>
              <w:rPr>
                <w:rFonts w:hint="eastAsia" w:ascii="宋体" w:hAnsi="宋体" w:eastAsia="宋体" w:cs="宋体"/>
                <w:b/>
                <w:bCs/>
                <w:i w:val="0"/>
                <w:iCs w:val="0"/>
                <w:color w:val="000000"/>
                <w:kern w:val="0"/>
                <w:sz w:val="20"/>
                <w:szCs w:val="20"/>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265.59</w:t>
            </w:r>
            <w:r>
              <w:rPr>
                <w:rFonts w:hint="default" w:ascii="Arial" w:hAnsi="Arial" w:eastAsia="宋体" w:cs="Arial"/>
                <w:i w:val="0"/>
                <w:iCs w:val="0"/>
                <w:color w:val="000000"/>
                <w:kern w:val="0"/>
                <w:sz w:val="20"/>
                <w:szCs w:val="20"/>
                <w:u w:val="none"/>
                <w:lang w:val="en-US" w:eastAsia="zh-CN" w:bidi="ar"/>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228.54</w:t>
            </w:r>
            <w:r>
              <w:rPr>
                <w:rFonts w:hint="default" w:ascii="Arial" w:hAnsi="Arial" w:eastAsia="宋体" w:cs="Arial"/>
                <w:i w:val="0"/>
                <w:iCs w:val="0"/>
                <w:color w:val="000000"/>
                <w:kern w:val="0"/>
                <w:sz w:val="20"/>
                <w:szCs w:val="20"/>
                <w:u w:val="none"/>
                <w:lang w:val="en-US" w:eastAsia="zh-CN" w:bidi="ar"/>
              </w:rPr>
              <w:t xml:space="preserve"> </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37.05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工资福利支出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sz w:val="20"/>
                <w:szCs w:val="20"/>
                <w:lang w:val="en-US" w:eastAsia="zh-CN"/>
              </w:rPr>
              <w:t>219.64</w:t>
            </w:r>
            <w:r>
              <w:rPr>
                <w:rFonts w:hint="default" w:ascii="Arial" w:hAnsi="Arial" w:cs="Arial"/>
                <w:sz w:val="20"/>
                <w:szCs w:val="20"/>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cs="Arial"/>
                <w:sz w:val="20"/>
                <w:szCs w:val="20"/>
                <w:lang w:val="en-US" w:eastAsia="zh-CN"/>
              </w:rPr>
              <w:t>219.64</w:t>
            </w:r>
            <w:r>
              <w:rPr>
                <w:rFonts w:hint="default" w:ascii="Arial" w:hAnsi="Arial" w:cs="Arial"/>
                <w:sz w:val="20"/>
                <w:szCs w:val="20"/>
              </w:rPr>
              <w:t xml:space="preserve"> </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30101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基本工资</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85.19</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iCs w:val="0"/>
                <w:color w:val="auto"/>
                <w:sz w:val="20"/>
                <w:szCs w:val="20"/>
                <w:u w:val="none"/>
                <w:lang w:val="en-US" w:eastAsia="zh-CN"/>
              </w:rPr>
            </w:pPr>
            <w:r>
              <w:rPr>
                <w:rFonts w:hint="eastAsia" w:ascii="Arial" w:hAnsi="Arial" w:cs="Arial"/>
                <w:i w:val="0"/>
                <w:iCs w:val="0"/>
                <w:color w:val="000000"/>
                <w:sz w:val="20"/>
                <w:szCs w:val="20"/>
                <w:u w:val="none"/>
                <w:lang w:val="en-US" w:eastAsia="zh-CN"/>
              </w:rPr>
              <w:t>85.19</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30102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津贴补贴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0.06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0.06</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30103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奖金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7.10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7.10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30107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绩效工资</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58.87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sz w:val="20"/>
                <w:szCs w:val="20"/>
                <w:u w:val="none"/>
                <w:lang w:val="en-US" w:eastAsia="zh-CN"/>
              </w:rPr>
              <w:t>58.87</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30108</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机关事业单位基本养老保险缴费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24.19</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24.19</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职工基本医疗保险缴费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10.08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10.08</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30111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公务员医疗补助缴费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4.47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4.47</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30112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其他社会保障缴费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1.87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1.87</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30113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住房公积金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24.51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24.51</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30199</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其他工资福利支出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3.30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3.30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商品和服务支出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37.05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37.05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30201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办公费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18.01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30205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0.00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30206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sz w:val="20"/>
                <w:szCs w:val="20"/>
                <w:u w:val="none"/>
                <w:lang w:val="en-US" w:eastAsia="zh-CN"/>
              </w:rPr>
              <w:t>0.00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30207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邮电费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0.00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sz w:val="20"/>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30208</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取暖费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0.00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30211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差旅费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0.00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30213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维修（护）费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30216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培训费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3.11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sz w:val="20"/>
                <w:szCs w:val="20"/>
                <w:u w:val="none"/>
                <w:lang w:val="en-US" w:eastAsia="zh-CN"/>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30217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公务接待费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0.62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sz w:val="20"/>
                <w:szCs w:val="20"/>
                <w:u w:val="none"/>
                <w:lang w:val="en-US" w:eastAsia="zh-CN"/>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30228</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工会经费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4.14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sz w:val="20"/>
                <w:szCs w:val="20"/>
                <w:u w:val="none"/>
                <w:lang w:val="en-US" w:eastAsia="zh-CN"/>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30229</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福利费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5.18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sz w:val="20"/>
                <w:szCs w:val="20"/>
                <w:u w:val="none"/>
                <w:lang w:val="en-US" w:eastAsia="zh-CN"/>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30231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公务用车运行维护费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6.0</w:t>
            </w:r>
            <w:r>
              <w:rPr>
                <w:rFonts w:hint="eastAsia" w:ascii="Arial" w:hAnsi="Arial" w:cs="Arial"/>
                <w:i w:val="0"/>
                <w:iCs w:val="0"/>
                <w:color w:val="000000"/>
                <w:kern w:val="0"/>
                <w:sz w:val="20"/>
                <w:szCs w:val="20"/>
                <w:u w:val="none"/>
                <w:lang w:val="en-US" w:eastAsia="zh-CN" w:bidi="ar"/>
              </w:rPr>
              <w:t>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r>
              <w:rPr>
                <w:rFonts w:hint="eastAsia" w:ascii="Arial" w:hAnsi="Arial"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对个人和家庭的补助</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8.90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8.90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30302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退休费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3.85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3.85</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30307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医疗费补助</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3.78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sz w:val="20"/>
                <w:szCs w:val="20"/>
                <w:u w:val="none"/>
                <w:lang w:val="en-US" w:eastAsia="zh-CN"/>
              </w:rPr>
              <w:t>3.78</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30399</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其他对个人和家庭的补助</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1.28</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sz w:val="20"/>
                <w:szCs w:val="20"/>
                <w:u w:val="none"/>
                <w:lang w:val="en-US" w:eastAsia="zh-CN"/>
              </w:rPr>
              <w:t>1.28</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bl>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七、本年一般公共预算“三公”经费支出表</w:t>
      </w:r>
    </w:p>
    <w:p>
      <w:pPr>
        <w:pStyle w:val="6"/>
        <w:kinsoku w:val="0"/>
        <w:overflowPunct w:val="0"/>
        <w:spacing w:line="619" w:lineRule="exact"/>
        <w:ind w:left="1612" w:firstLine="343" w:firstLineChars="150"/>
        <w:outlineLvl w:val="9"/>
        <w:rPr>
          <w:w w:val="95"/>
          <w:highlight w:val="none"/>
        </w:rPr>
      </w:pPr>
      <w:r>
        <w:rPr>
          <w:rFonts w:hint="eastAsia" w:ascii="宋体" w:eastAsia="宋体" w:cs="宋体"/>
          <w:b/>
          <w:w w:val="95"/>
          <w:sz w:val="24"/>
          <w:szCs w:val="24"/>
          <w:highlight w:val="none"/>
          <w:lang w:eastAsia="zh-CN"/>
        </w:rPr>
        <w:t>本年</w:t>
      </w:r>
      <w:r>
        <w:rPr>
          <w:rFonts w:hint="eastAsia" w:ascii="宋体" w:eastAsia="宋体" w:cs="宋体"/>
          <w:b/>
          <w:w w:val="95"/>
          <w:sz w:val="24"/>
          <w:szCs w:val="24"/>
          <w:highlight w:val="none"/>
        </w:rPr>
        <w:t>一般公共预算</w:t>
      </w:r>
      <w:r>
        <w:rPr>
          <w:rFonts w:ascii="宋体" w:eastAsia="宋体" w:cs="宋体"/>
          <w:b/>
          <w:w w:val="95"/>
          <w:sz w:val="24"/>
          <w:szCs w:val="24"/>
          <w:highlight w:val="none"/>
        </w:rPr>
        <w:t>“</w:t>
      </w:r>
      <w:r>
        <w:rPr>
          <w:rFonts w:hint="eastAsia" w:ascii="宋体" w:eastAsia="宋体" w:cs="宋体"/>
          <w:b/>
          <w:w w:val="95"/>
          <w:sz w:val="24"/>
          <w:szCs w:val="24"/>
          <w:highlight w:val="none"/>
        </w:rPr>
        <w:t>三公</w:t>
      </w:r>
      <w:r>
        <w:rPr>
          <w:rFonts w:ascii="宋体" w:eastAsia="宋体" w:cs="宋体"/>
          <w:b/>
          <w:w w:val="95"/>
          <w:sz w:val="24"/>
          <w:szCs w:val="24"/>
          <w:highlight w:val="none"/>
        </w:rPr>
        <w:t>”</w:t>
      </w:r>
      <w:r>
        <w:rPr>
          <w:rFonts w:hint="eastAsia" w:ascii="宋体" w:eastAsia="宋体" w:cs="宋体"/>
          <w:b/>
          <w:w w:val="95"/>
          <w:sz w:val="24"/>
          <w:szCs w:val="24"/>
          <w:highlight w:val="none"/>
        </w:rPr>
        <w:t>经费支出表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90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627"/>
        <w:gridCol w:w="623"/>
        <w:gridCol w:w="632"/>
        <w:gridCol w:w="654"/>
        <w:gridCol w:w="627"/>
        <w:gridCol w:w="641"/>
        <w:gridCol w:w="655"/>
        <w:gridCol w:w="627"/>
        <w:gridCol w:w="627"/>
        <w:gridCol w:w="641"/>
        <w:gridCol w:w="655"/>
        <w:gridCol w:w="668"/>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40" w:type="dxa"/>
            <w:gridSpan w:val="1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预算单位：长春市军队离休退休干部绿园休养所</w:t>
            </w:r>
          </w:p>
        </w:tc>
        <w:tc>
          <w:tcPr>
            <w:tcW w:w="1363"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单位</w:t>
            </w:r>
            <w:r>
              <w:rPr>
                <w:rFonts w:hint="eastAsia" w:ascii="Arial" w:hAnsi="Arial" w:cs="Arial"/>
                <w:i w:val="0"/>
                <w:iCs w:val="0"/>
                <w:color w:val="000000"/>
                <w:kern w:val="0"/>
                <w:sz w:val="20"/>
                <w:szCs w:val="20"/>
                <w:u w:val="none"/>
                <w:lang w:val="en-US" w:eastAsia="zh-CN" w:bidi="ar"/>
              </w:rPr>
              <w:t>：万</w:t>
            </w:r>
            <w:r>
              <w:rPr>
                <w:rFonts w:hint="default" w:ascii="Arial" w:hAnsi="Arial" w:eastAsia="宋体" w:cs="Arial"/>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“三公”经费合计</w:t>
            </w:r>
          </w:p>
        </w:tc>
        <w:tc>
          <w:tcPr>
            <w:tcW w:w="1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因公出国（境）费</w:t>
            </w:r>
          </w:p>
        </w:tc>
        <w:tc>
          <w:tcPr>
            <w:tcW w:w="44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公务用车购置及运行费</w:t>
            </w:r>
          </w:p>
        </w:tc>
        <w:tc>
          <w:tcPr>
            <w:tcW w:w="20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u w:val="none"/>
              </w:rPr>
            </w:pP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小计</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当年预算</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上年结转</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小计</w:t>
            </w:r>
          </w:p>
        </w:tc>
        <w:tc>
          <w:tcPr>
            <w:tcW w:w="1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公务用车购置费</w:t>
            </w: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公务用车运行费</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小计</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当年预算</w:t>
            </w:r>
          </w:p>
        </w:tc>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小计</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当年预算</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上年结转</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小计</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当年预算</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上年结转</w:t>
            </w: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u w:val="none"/>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6.6</w:t>
            </w:r>
            <w:r>
              <w:rPr>
                <w:rFonts w:hint="eastAsia" w:ascii="Arial" w:hAnsi="Arial" w:cs="Arial"/>
                <w:i w:val="0"/>
                <w:iCs w:val="0"/>
                <w:color w:val="000000"/>
                <w:kern w:val="0"/>
                <w:sz w:val="18"/>
                <w:szCs w:val="18"/>
                <w:u w:val="none"/>
                <w:lang w:val="en-US" w:eastAsia="zh-CN"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6"/>
                <w:szCs w:val="16"/>
                <w:u w:val="none"/>
                <w:lang w:val="en-US" w:eastAsia="zh-CN" w:bidi="ar"/>
              </w:rPr>
              <w:t>0.00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6.00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cs="Arial"/>
                <w:i w:val="0"/>
                <w:iCs w:val="0"/>
                <w:color w:val="000000"/>
                <w:kern w:val="0"/>
                <w:sz w:val="18"/>
                <w:szCs w:val="18"/>
                <w:u w:val="none"/>
                <w:lang w:val="en-US" w:eastAsia="zh-CN" w:bidi="ar"/>
              </w:rPr>
              <w:t>0.63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lang w:val="en-US"/>
              </w:rPr>
            </w:pPr>
            <w:r>
              <w:rPr>
                <w:rFonts w:hint="eastAsia" w:ascii="Arial" w:hAnsi="Arial" w:cs="Arial"/>
                <w:i w:val="0"/>
                <w:iCs w:val="0"/>
                <w:color w:val="000000"/>
                <w:kern w:val="0"/>
                <w:sz w:val="18"/>
                <w:szCs w:val="18"/>
                <w:u w:val="none"/>
                <w:lang w:val="en-US" w:eastAsia="zh-CN" w:bidi="ar"/>
              </w:rPr>
              <w:t>0.62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0.00</w:t>
            </w:r>
          </w:p>
        </w:tc>
      </w:tr>
    </w:tbl>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八、本年政府性基金预算支出表</w:t>
      </w:r>
    </w:p>
    <w:p>
      <w:pPr>
        <w:widowControl/>
        <w:tabs>
          <w:tab w:val="left" w:pos="1370"/>
        </w:tabs>
        <w:spacing w:line="360" w:lineRule="auto"/>
        <w:jc w:val="center"/>
        <w:rPr>
          <w:rFonts w:ascii="宋体" w:cs="宋体"/>
          <w:b/>
          <w:w w:val="95"/>
          <w:sz w:val="24"/>
          <w:szCs w:val="24"/>
          <w:highlight w:val="none"/>
        </w:rPr>
      </w:pPr>
      <w:r>
        <w:rPr>
          <w:rFonts w:hint="eastAsia" w:ascii="宋体" w:cs="宋体"/>
          <w:b/>
          <w:w w:val="95"/>
          <w:sz w:val="24"/>
          <w:szCs w:val="24"/>
          <w:highlight w:val="none"/>
          <w:lang w:eastAsia="zh-CN"/>
        </w:rPr>
        <w:t>本年</w:t>
      </w:r>
      <w:r>
        <w:rPr>
          <w:rFonts w:hint="eastAsia" w:ascii="宋体" w:cs="宋体"/>
          <w:b/>
          <w:w w:val="95"/>
          <w:sz w:val="24"/>
          <w:szCs w:val="24"/>
          <w:highlight w:val="none"/>
        </w:rPr>
        <w:t>政府性基金预算支出表</w:t>
      </w:r>
    </w:p>
    <w:p>
      <w:pPr>
        <w:pStyle w:val="3"/>
        <w:kinsoku w:val="0"/>
        <w:overflowPunct w:val="0"/>
        <w:ind w:left="2364"/>
        <w:jc w:val="right"/>
        <w:rPr>
          <w:w w:val="95"/>
          <w:sz w:val="20"/>
          <w:szCs w:val="20"/>
          <w:highlight w:val="none"/>
        </w:rPr>
      </w:pPr>
      <w:r>
        <w:rPr>
          <w:rFonts w:hint="eastAsia"/>
          <w:w w:val="95"/>
          <w:sz w:val="20"/>
          <w:szCs w:val="20"/>
          <w:highlight w:val="none"/>
        </w:rPr>
        <w:t>单位：万元</w:t>
      </w:r>
    </w:p>
    <w:tbl>
      <w:tblPr>
        <w:tblStyle w:val="4"/>
        <w:tblW w:w="9072" w:type="dxa"/>
        <w:jc w:val="center"/>
        <w:tblLayout w:type="autofit"/>
        <w:tblCellMar>
          <w:top w:w="0" w:type="dxa"/>
          <w:left w:w="108" w:type="dxa"/>
          <w:bottom w:w="0" w:type="dxa"/>
          <w:right w:w="108" w:type="dxa"/>
        </w:tblCellMar>
      </w:tblPr>
      <w:tblGrid>
        <w:gridCol w:w="1083"/>
        <w:gridCol w:w="1083"/>
        <w:gridCol w:w="1083"/>
        <w:gridCol w:w="1941"/>
        <w:gridCol w:w="1941"/>
        <w:gridCol w:w="1941"/>
      </w:tblGrid>
      <w:tr>
        <w:tblPrEx>
          <w:tblCellMar>
            <w:top w:w="0" w:type="dxa"/>
            <w:left w:w="108" w:type="dxa"/>
            <w:bottom w:w="0" w:type="dxa"/>
            <w:right w:w="108" w:type="dxa"/>
          </w:tblCellMar>
        </w:tblPrEx>
        <w:trPr>
          <w:trHeight w:val="454" w:hRule="atLeast"/>
          <w:jc w:val="center"/>
        </w:trPr>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序号</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科目编码</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功能分类科目名称</w:t>
            </w:r>
          </w:p>
        </w:tc>
        <w:tc>
          <w:tcPr>
            <w:tcW w:w="5823" w:type="dxa"/>
            <w:gridSpan w:val="3"/>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本年政府性基金预算支出</w:t>
            </w:r>
          </w:p>
        </w:tc>
      </w:tr>
      <w:tr>
        <w:tblPrEx>
          <w:tblCellMar>
            <w:top w:w="0" w:type="dxa"/>
            <w:left w:w="108" w:type="dxa"/>
            <w:bottom w:w="0" w:type="dxa"/>
            <w:right w:w="108" w:type="dxa"/>
          </w:tblCellMar>
        </w:tblPrEx>
        <w:trPr>
          <w:trHeight w:val="45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Arial" w:hAnsi="Arial" w:cs="Arial"/>
                <w:b/>
                <w:bCs/>
                <w:kern w:val="0"/>
                <w:sz w:val="20"/>
                <w:szCs w:val="20"/>
                <w:highlight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Arial" w:hAnsi="Arial" w:cs="Arial"/>
                <w:b/>
                <w:bCs/>
                <w:kern w:val="0"/>
                <w:sz w:val="20"/>
                <w:szCs w:val="20"/>
                <w:highlight w:val="none"/>
              </w:rPr>
            </w:pPr>
          </w:p>
        </w:tc>
        <w:tc>
          <w:tcPr>
            <w:tcW w:w="1941" w:type="dxa"/>
            <w:tcBorders>
              <w:top w:val="nil"/>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合计</w:t>
            </w:r>
          </w:p>
        </w:tc>
        <w:tc>
          <w:tcPr>
            <w:tcW w:w="1941" w:type="dxa"/>
            <w:tcBorders>
              <w:top w:val="nil"/>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基本支出</w:t>
            </w:r>
          </w:p>
        </w:tc>
        <w:tc>
          <w:tcPr>
            <w:tcW w:w="1941" w:type="dxa"/>
            <w:tcBorders>
              <w:top w:val="nil"/>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项目支出</w:t>
            </w: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1</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2</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3</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4</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5</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bl>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九、国有资本经营预算支出表</w:t>
      </w:r>
    </w:p>
    <w:p>
      <w:pPr>
        <w:pStyle w:val="6"/>
        <w:kinsoku w:val="0"/>
        <w:overflowPunct w:val="0"/>
        <w:ind w:left="0"/>
        <w:jc w:val="center"/>
        <w:outlineLvl w:val="9"/>
        <w:rPr>
          <w:rFonts w:hint="eastAsia" w:ascii="宋体" w:hAnsi="Calibri" w:eastAsia="宋体" w:cs="宋体"/>
          <w:b/>
          <w:w w:val="95"/>
          <w:kern w:val="2"/>
          <w:sz w:val="24"/>
          <w:szCs w:val="24"/>
          <w:highlight w:val="none"/>
        </w:rPr>
      </w:pPr>
      <w:r>
        <w:rPr>
          <w:rFonts w:hint="eastAsia" w:ascii="宋体" w:hAnsi="Calibri" w:eastAsia="宋体" w:cs="宋体"/>
          <w:b/>
          <w:w w:val="95"/>
          <w:kern w:val="2"/>
          <w:sz w:val="24"/>
          <w:szCs w:val="24"/>
          <w:highlight w:val="none"/>
        </w:rPr>
        <w:t>国有资本经营预算支出表</w:t>
      </w:r>
    </w:p>
    <w:p>
      <w:pPr>
        <w:pStyle w:val="6"/>
        <w:kinsoku w:val="0"/>
        <w:overflowPunct w:val="0"/>
        <w:ind w:left="2243"/>
        <w:outlineLvl w:val="9"/>
        <w:rPr>
          <w:rFonts w:eastAsia="宋体"/>
          <w:w w:val="95"/>
          <w:highlight w:val="none"/>
        </w:rPr>
      </w:pPr>
    </w:p>
    <w:p>
      <w:pPr>
        <w:pStyle w:val="3"/>
        <w:kinsoku w:val="0"/>
        <w:overflowPunct w:val="0"/>
        <w:ind w:left="2364"/>
        <w:jc w:val="right"/>
        <w:rPr>
          <w:rFonts w:hint="eastAsia"/>
          <w:w w:val="95"/>
          <w:sz w:val="20"/>
          <w:szCs w:val="20"/>
          <w:highlight w:val="none"/>
        </w:rPr>
      </w:pPr>
      <w:r>
        <w:rPr>
          <w:rFonts w:hint="eastAsia"/>
          <w:w w:val="95"/>
          <w:sz w:val="20"/>
          <w:szCs w:val="20"/>
          <w:highlight w:val="none"/>
        </w:rPr>
        <w:t>单位：万元</w:t>
      </w:r>
    </w:p>
    <w:tbl>
      <w:tblPr>
        <w:tblStyle w:val="4"/>
        <w:tblW w:w="9072" w:type="dxa"/>
        <w:jc w:val="center"/>
        <w:tblLayout w:type="autofit"/>
        <w:tblCellMar>
          <w:top w:w="0" w:type="dxa"/>
          <w:left w:w="108" w:type="dxa"/>
          <w:bottom w:w="0" w:type="dxa"/>
          <w:right w:w="108" w:type="dxa"/>
        </w:tblCellMar>
      </w:tblPr>
      <w:tblGrid>
        <w:gridCol w:w="1069"/>
        <w:gridCol w:w="1069"/>
        <w:gridCol w:w="1069"/>
        <w:gridCol w:w="1955"/>
        <w:gridCol w:w="1955"/>
        <w:gridCol w:w="1955"/>
      </w:tblGrid>
      <w:tr>
        <w:tblPrEx>
          <w:tblCellMar>
            <w:top w:w="0" w:type="dxa"/>
            <w:left w:w="108" w:type="dxa"/>
            <w:bottom w:w="0" w:type="dxa"/>
            <w:right w:w="108" w:type="dxa"/>
          </w:tblCellMar>
        </w:tblPrEx>
        <w:trPr>
          <w:trHeight w:val="454" w:hRule="atLeast"/>
          <w:jc w:val="center"/>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序号</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科目编码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功能分类科目名称</w:t>
            </w:r>
          </w:p>
        </w:tc>
        <w:tc>
          <w:tcPr>
            <w:tcW w:w="5865" w:type="dxa"/>
            <w:gridSpan w:val="3"/>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hint="eastAsia" w:ascii="宋体" w:hAnsi="宋体" w:cs="Arial"/>
                <w:b/>
                <w:bCs/>
                <w:kern w:val="0"/>
                <w:sz w:val="20"/>
                <w:szCs w:val="20"/>
                <w:highlight w:val="none"/>
              </w:rPr>
              <w:t>本年国有资本经营预算支出</w:t>
            </w:r>
          </w:p>
        </w:tc>
      </w:tr>
      <w:tr>
        <w:tblPrEx>
          <w:tblCellMar>
            <w:top w:w="0" w:type="dxa"/>
            <w:left w:w="108" w:type="dxa"/>
            <w:bottom w:w="0" w:type="dxa"/>
            <w:right w:w="108" w:type="dxa"/>
          </w:tblCellMar>
        </w:tblPrEx>
        <w:trPr>
          <w:trHeight w:val="454" w:hRule="atLeast"/>
          <w:jc w:val="center"/>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合计</w:t>
            </w:r>
          </w:p>
        </w:tc>
        <w:tc>
          <w:tcPr>
            <w:tcW w:w="1955"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基本支出</w:t>
            </w:r>
          </w:p>
        </w:tc>
        <w:tc>
          <w:tcPr>
            <w:tcW w:w="1955"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项目支出</w:t>
            </w: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1</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2</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3</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4</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5</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bl>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十、项目支出表</w:t>
      </w:r>
    </w:p>
    <w:p>
      <w:pPr>
        <w:pStyle w:val="6"/>
        <w:kinsoku w:val="0"/>
        <w:overflowPunct w:val="0"/>
        <w:ind w:left="0"/>
        <w:jc w:val="center"/>
        <w:outlineLvl w:val="9"/>
        <w:rPr>
          <w:rFonts w:hint="eastAsia" w:ascii="宋体" w:hAnsi="Calibri" w:eastAsia="宋体" w:cs="宋体"/>
          <w:b/>
          <w:w w:val="95"/>
          <w:kern w:val="2"/>
          <w:sz w:val="24"/>
          <w:szCs w:val="24"/>
          <w:highlight w:val="none"/>
        </w:rPr>
      </w:pPr>
      <w:r>
        <w:rPr>
          <w:rFonts w:hint="eastAsia" w:ascii="宋体" w:hAnsi="Calibri" w:eastAsia="宋体" w:cs="宋体"/>
          <w:b/>
          <w:w w:val="95"/>
          <w:kern w:val="2"/>
          <w:sz w:val="24"/>
          <w:szCs w:val="24"/>
          <w:highlight w:val="none"/>
          <w:lang w:eastAsia="zh-CN"/>
        </w:rPr>
        <w:t>项目</w:t>
      </w:r>
      <w:r>
        <w:rPr>
          <w:rFonts w:hint="eastAsia" w:ascii="宋体" w:hAnsi="Calibri" w:eastAsia="宋体" w:cs="宋体"/>
          <w:b/>
          <w:w w:val="95"/>
          <w:kern w:val="2"/>
          <w:sz w:val="24"/>
          <w:szCs w:val="24"/>
          <w:highlight w:val="none"/>
        </w:rPr>
        <w:t>支出表</w:t>
      </w:r>
    </w:p>
    <w:p>
      <w:pPr>
        <w:pStyle w:val="6"/>
        <w:kinsoku w:val="0"/>
        <w:overflowPunct w:val="0"/>
        <w:ind w:firstLine="4387" w:firstLineChars="2300"/>
        <w:outlineLvl w:val="9"/>
        <w:rPr>
          <w:rFonts w:hint="eastAsia" w:eastAsia="宋体"/>
          <w:b/>
          <w:bCs/>
          <w:w w:val="95"/>
          <w:sz w:val="20"/>
          <w:szCs w:val="20"/>
          <w:highlight w:val="none"/>
          <w:lang w:eastAsia="zh-CN"/>
        </w:rPr>
      </w:pPr>
      <w:r>
        <w:rPr>
          <w:rFonts w:hint="eastAsia" w:eastAsia="宋体"/>
          <w:b/>
          <w:bCs/>
          <w:w w:val="95"/>
          <w:sz w:val="20"/>
          <w:szCs w:val="20"/>
          <w:highlight w:val="none"/>
          <w:lang w:eastAsia="zh-CN"/>
        </w:rPr>
        <w:t>单位：万元</w:t>
      </w:r>
    </w:p>
    <w:tbl>
      <w:tblPr>
        <w:tblStyle w:val="4"/>
        <w:tblW w:w="10341" w:type="dxa"/>
        <w:tblInd w:w="-5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435"/>
        <w:gridCol w:w="735"/>
        <w:gridCol w:w="735"/>
        <w:gridCol w:w="465"/>
        <w:gridCol w:w="315"/>
        <w:gridCol w:w="1095"/>
        <w:gridCol w:w="1116"/>
        <w:gridCol w:w="735"/>
        <w:gridCol w:w="690"/>
        <w:gridCol w:w="780"/>
        <w:gridCol w:w="690"/>
        <w:gridCol w:w="750"/>
        <w:gridCol w:w="61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序号</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类型</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项目名称</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项目单位</w:t>
            </w: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项目名称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合计</w:t>
            </w:r>
          </w:p>
        </w:tc>
        <w:tc>
          <w:tcPr>
            <w:tcW w:w="2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本年财政拨款</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财政拨款结转</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财政专户管理资金</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3"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i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一级项目</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二级项目</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i w:val="0"/>
                <w:color w:val="000000"/>
                <w:sz w:val="20"/>
                <w:szCs w:val="20"/>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i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i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一般公共预算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政府性基金预算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国有资本经营预算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一般公共预算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政府性基金预算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国有资本经营预算</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lang w:val="en-US"/>
              </w:rPr>
            </w:pPr>
            <w:r>
              <w:rPr>
                <w:rFonts w:hint="eastAsia" w:ascii="Arial" w:hAnsi="Arial" w:cs="Arial"/>
                <w:i w:val="0"/>
                <w:color w:val="000000"/>
                <w:kern w:val="0"/>
                <w:sz w:val="16"/>
                <w:szCs w:val="16"/>
                <w:u w:val="none"/>
                <w:lang w:val="en-US" w:eastAsia="zh-CN" w:bidi="ar"/>
              </w:rPr>
              <w:t>304.00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lang w:val="en-US"/>
              </w:rPr>
            </w:pPr>
            <w:r>
              <w:rPr>
                <w:rFonts w:hint="eastAsia" w:ascii="Arial" w:hAnsi="Arial" w:cs="Arial"/>
                <w:i w:val="0"/>
                <w:color w:val="000000"/>
                <w:kern w:val="0"/>
                <w:sz w:val="16"/>
                <w:szCs w:val="16"/>
                <w:u w:val="none"/>
                <w:lang w:val="en-US" w:eastAsia="zh-CN" w:bidi="ar"/>
              </w:rPr>
              <w:t>151.00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lang w:val="en-US"/>
              </w:rPr>
            </w:pPr>
            <w:r>
              <w:rPr>
                <w:rFonts w:hint="eastAsia" w:ascii="Arial" w:hAnsi="Arial" w:cs="Arial"/>
                <w:i w:val="0"/>
                <w:color w:val="000000"/>
                <w:kern w:val="0"/>
                <w:sz w:val="16"/>
                <w:szCs w:val="16"/>
                <w:u w:val="none"/>
                <w:lang w:val="en-US" w:eastAsia="zh-CN" w:bidi="ar"/>
              </w:rPr>
              <w:t>153.00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lang w:val="en-US"/>
              </w:rPr>
            </w:pPr>
            <w:r>
              <w:rPr>
                <w:rFonts w:hint="eastAsia" w:ascii="Arial" w:hAnsi="Arial" w:cs="Arial"/>
                <w:i w:val="0"/>
                <w:color w:val="000000"/>
                <w:kern w:val="0"/>
                <w:sz w:val="16"/>
                <w:szCs w:val="16"/>
                <w:u w:val="none"/>
                <w:lang w:val="en-US" w:eastAsia="zh-CN" w:bidi="ar"/>
              </w:rPr>
              <w:t>153.00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lang w:val="en-US"/>
              </w:rPr>
            </w:pPr>
            <w:r>
              <w:rPr>
                <w:rFonts w:hint="eastAsia" w:ascii="Arial" w:hAnsi="Arial" w:cs="Arial"/>
                <w:i w:val="0"/>
                <w:color w:val="000000"/>
                <w:kern w:val="0"/>
                <w:sz w:val="16"/>
                <w:szCs w:val="16"/>
                <w:u w:val="none"/>
                <w:lang w:val="en-US" w:eastAsia="zh-CN" w:bidi="ar"/>
              </w:rPr>
              <w:t>153.00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一级涉密项目1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lang w:val="en-US"/>
              </w:rPr>
            </w:pPr>
            <w:r>
              <w:rPr>
                <w:rFonts w:hint="eastAsia" w:ascii="Arial" w:hAnsi="Arial" w:cs="Arial"/>
                <w:i w:val="0"/>
                <w:color w:val="000000"/>
                <w:kern w:val="0"/>
                <w:sz w:val="16"/>
                <w:szCs w:val="16"/>
                <w:u w:val="none"/>
                <w:lang w:val="en-US" w:eastAsia="zh-CN" w:bidi="ar"/>
              </w:rPr>
              <w:t>153.00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lang w:val="en-US"/>
              </w:rPr>
            </w:pPr>
            <w:r>
              <w:rPr>
                <w:rFonts w:hint="eastAsia" w:ascii="Arial" w:hAnsi="Arial" w:cs="Arial"/>
                <w:i w:val="0"/>
                <w:color w:val="000000"/>
                <w:kern w:val="0"/>
                <w:sz w:val="16"/>
                <w:szCs w:val="16"/>
                <w:u w:val="none"/>
                <w:lang w:val="en-US" w:eastAsia="zh-CN" w:bidi="ar"/>
              </w:rPr>
              <w:t>153.00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Arial" w:hAnsi="Arial" w:cs="Arial"/>
                <w:i w:val="0"/>
                <w:color w:val="000000"/>
                <w:sz w:val="20"/>
                <w:szCs w:val="20"/>
                <w:u w:val="none"/>
                <w:lang w:val="en-US" w:eastAsia="zh-CN"/>
              </w:rPr>
              <w:t>涉密项目1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长春市军队离休退休干部</w:t>
            </w:r>
            <w:r>
              <w:rPr>
                <w:rFonts w:hint="eastAsia" w:ascii="Arial" w:hAnsi="Arial" w:cs="Arial"/>
                <w:i w:val="0"/>
                <w:color w:val="000000"/>
                <w:kern w:val="0"/>
                <w:sz w:val="20"/>
                <w:szCs w:val="20"/>
                <w:u w:val="none"/>
                <w:lang w:val="en-US" w:eastAsia="zh-CN" w:bidi="ar"/>
              </w:rPr>
              <w:t>绿园休养所</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lang w:val="en-US"/>
              </w:rPr>
            </w:pPr>
            <w:r>
              <w:rPr>
                <w:rFonts w:hint="eastAsia" w:ascii="Arial" w:hAnsi="Arial" w:cs="Arial"/>
                <w:i w:val="0"/>
                <w:color w:val="000000"/>
                <w:kern w:val="0"/>
                <w:sz w:val="16"/>
                <w:szCs w:val="16"/>
                <w:u w:val="none"/>
                <w:lang w:val="en-US" w:eastAsia="zh-CN" w:bidi="ar"/>
              </w:rPr>
              <w:t>153.00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lang w:val="en-US"/>
              </w:rPr>
            </w:pPr>
            <w:r>
              <w:rPr>
                <w:rFonts w:hint="eastAsia" w:ascii="Arial" w:hAnsi="Arial" w:cs="Arial"/>
                <w:i w:val="0"/>
                <w:color w:val="000000"/>
                <w:kern w:val="0"/>
                <w:sz w:val="16"/>
                <w:szCs w:val="16"/>
                <w:u w:val="none"/>
                <w:lang w:val="en-US" w:eastAsia="zh-CN" w:bidi="ar"/>
              </w:rPr>
              <w:t>153.00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color w:val="000000"/>
                <w:sz w:val="20"/>
                <w:szCs w:val="20"/>
                <w:u w:val="none"/>
                <w:lang w:eastAsia="zh-CN"/>
              </w:rPr>
            </w:pPr>
            <w:r>
              <w:rPr>
                <w:rFonts w:hint="eastAsia" w:ascii="Arial" w:hAnsi="Arial" w:cs="Arial"/>
                <w:i w:val="0"/>
                <w:color w:val="000000"/>
                <w:sz w:val="20"/>
                <w:szCs w:val="20"/>
                <w:u w:val="none"/>
                <w:lang w:eastAsia="zh-CN"/>
              </w:rPr>
              <w:t>专项业务支出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kern w:val="0"/>
                <w:sz w:val="16"/>
                <w:szCs w:val="16"/>
                <w:u w:val="none"/>
                <w:lang w:val="en-US" w:eastAsia="zh-CN" w:bidi="ar"/>
              </w:rPr>
            </w:pPr>
            <w:r>
              <w:rPr>
                <w:rFonts w:hint="eastAsia" w:ascii="Arial" w:hAnsi="Arial" w:cs="Arial"/>
                <w:i w:val="0"/>
                <w:color w:val="000000"/>
                <w:kern w:val="0"/>
                <w:sz w:val="16"/>
                <w:szCs w:val="16"/>
                <w:u w:val="none"/>
                <w:lang w:val="en-US" w:eastAsia="zh-CN" w:bidi="ar"/>
              </w:rPr>
              <w:t>151.00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lang w:val="en-US"/>
              </w:rPr>
            </w:pPr>
            <w:r>
              <w:rPr>
                <w:rFonts w:hint="eastAsia" w:ascii="Arial" w:hAnsi="Arial" w:cs="Arial"/>
                <w:i w:val="0"/>
                <w:color w:val="000000"/>
                <w:kern w:val="0"/>
                <w:sz w:val="16"/>
                <w:szCs w:val="16"/>
                <w:u w:val="none"/>
                <w:lang w:val="en-US" w:eastAsia="zh-CN" w:bidi="ar"/>
              </w:rPr>
              <w:t>151.00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lang w:val="en-US"/>
              </w:rPr>
            </w:pPr>
            <w:r>
              <w:rPr>
                <w:rFonts w:hint="eastAsia" w:ascii="Arial" w:hAnsi="Arial" w:cs="Arial"/>
                <w:i w:val="0"/>
                <w:color w:val="000000"/>
                <w:sz w:val="20"/>
                <w:szCs w:val="20"/>
                <w:u w:val="none"/>
                <w:lang w:val="en-US" w:eastAsia="zh-CN"/>
              </w:rPr>
              <w:t>一级涉密项目2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lang w:val="en-US"/>
              </w:rPr>
            </w:pPr>
            <w:r>
              <w:rPr>
                <w:rFonts w:hint="eastAsia" w:ascii="Arial" w:hAnsi="Arial" w:cs="Arial"/>
                <w:i w:val="0"/>
                <w:color w:val="000000"/>
                <w:kern w:val="0"/>
                <w:sz w:val="16"/>
                <w:szCs w:val="16"/>
                <w:u w:val="none"/>
                <w:lang w:val="en-US" w:eastAsia="zh-CN" w:bidi="ar"/>
              </w:rPr>
              <w:t>151.00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lang w:val="en-US"/>
              </w:rPr>
            </w:pPr>
            <w:r>
              <w:rPr>
                <w:rFonts w:hint="eastAsia" w:ascii="Arial" w:hAnsi="Arial" w:cs="Arial"/>
                <w:i w:val="0"/>
                <w:color w:val="000000"/>
                <w:kern w:val="0"/>
                <w:sz w:val="16"/>
                <w:szCs w:val="16"/>
                <w:u w:val="none"/>
                <w:lang w:val="en-US" w:eastAsia="zh-CN" w:bidi="ar"/>
              </w:rPr>
              <w:t>151.00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lang w:val="en-US"/>
              </w:rPr>
            </w:pPr>
            <w:r>
              <w:rPr>
                <w:rFonts w:hint="eastAsia" w:ascii="Arial" w:hAnsi="Arial" w:cs="Arial"/>
                <w:i w:val="0"/>
                <w:color w:val="000000"/>
                <w:sz w:val="20"/>
                <w:szCs w:val="20"/>
                <w:u w:val="none"/>
                <w:lang w:val="en-US" w:eastAsia="zh-CN"/>
              </w:rPr>
              <w:t>涉密项目2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长春市军队离休退休干部</w:t>
            </w:r>
            <w:r>
              <w:rPr>
                <w:rFonts w:hint="eastAsia" w:ascii="Arial" w:hAnsi="Arial" w:cs="Arial"/>
                <w:i w:val="0"/>
                <w:color w:val="000000"/>
                <w:kern w:val="0"/>
                <w:sz w:val="20"/>
                <w:szCs w:val="20"/>
                <w:u w:val="none"/>
                <w:lang w:val="en-US" w:eastAsia="zh-CN" w:bidi="ar"/>
              </w:rPr>
              <w:t>绿园休养所</w:t>
            </w: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lang w:val="en-US"/>
              </w:rPr>
            </w:pPr>
            <w:r>
              <w:rPr>
                <w:rFonts w:hint="eastAsia" w:ascii="Arial" w:hAnsi="Arial" w:cs="Arial"/>
                <w:i w:val="0"/>
                <w:color w:val="000000"/>
                <w:kern w:val="0"/>
                <w:sz w:val="16"/>
                <w:szCs w:val="16"/>
                <w:u w:val="none"/>
                <w:lang w:val="en-US" w:eastAsia="zh-CN" w:bidi="ar"/>
              </w:rPr>
              <w:t>151.00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eastAsia" w:ascii="Arial" w:hAnsi="Arial" w:cs="Arial"/>
                <w:i w:val="0"/>
                <w:color w:val="000000"/>
                <w:kern w:val="0"/>
                <w:sz w:val="16"/>
                <w:szCs w:val="16"/>
                <w:u w:val="none"/>
                <w:lang w:val="en-US" w:eastAsia="zh-CN" w:bidi="ar"/>
              </w:rPr>
              <w:t>151.0</w:t>
            </w:r>
            <w:r>
              <w:rPr>
                <w:rFonts w:hint="default" w:ascii="Arial" w:hAnsi="Arial" w:eastAsia="宋体" w:cs="Arial"/>
                <w:i w:val="0"/>
                <w:color w:val="000000"/>
                <w:kern w:val="0"/>
                <w:sz w:val="16"/>
                <w:szCs w:val="16"/>
                <w:u w:val="none"/>
                <w:lang w:val="en-US" w:eastAsia="zh-CN"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0.00</w:t>
            </w:r>
          </w:p>
        </w:tc>
      </w:tr>
    </w:tbl>
    <w:p>
      <w:pPr>
        <w:widowControl/>
        <w:spacing w:line="360" w:lineRule="auto"/>
        <w:jc w:val="left"/>
        <w:rPr>
          <w:rFonts w:hint="eastAsia" w:ascii="Arial Unicode MS" w:hAnsi="Times New Roman" w:cs="Arial Unicode MS"/>
          <w:w w:val="95"/>
          <w:kern w:val="0"/>
          <w:sz w:val="44"/>
          <w:szCs w:val="44"/>
          <w:highlight w:val="none"/>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keepNext w:val="0"/>
        <w:keepLines w:val="0"/>
        <w:pageBreakBefore w:val="0"/>
        <w:widowControl w:val="0"/>
        <w:numPr>
          <w:ilvl w:val="0"/>
          <w:numId w:val="3"/>
        </w:numPr>
        <w:wordWrap/>
        <w:topLinePunct w:val="0"/>
        <w:bidi w:val="0"/>
        <w:snapToGrid w:val="0"/>
        <w:spacing w:line="560" w:lineRule="exact"/>
        <w:ind w:firstLine="642" w:firstLineChars="200"/>
        <w:jc w:val="left"/>
        <w:textAlignment w:val="auto"/>
        <w:rPr>
          <w:rFonts w:hint="eastAsia" w:ascii="黑体" w:hAnsi="黑体" w:eastAsia="黑体" w:cs="Times New Roman"/>
          <w:b/>
          <w:sz w:val="32"/>
          <w:szCs w:val="32"/>
          <w:highlight w:val="none"/>
        </w:rPr>
      </w:pPr>
      <w:r>
        <w:rPr>
          <w:rFonts w:hint="eastAsia" w:ascii="黑体" w:hAnsi="黑体" w:eastAsia="黑体" w:cs="Times New Roman"/>
          <w:b/>
          <w:sz w:val="32"/>
          <w:szCs w:val="32"/>
          <w:highlight w:val="none"/>
          <w:lang w:val="en-US" w:eastAsia="zh-CN"/>
        </w:rPr>
        <w:t xml:space="preserve">    2023年度部门预算表</w:t>
      </w:r>
      <w:r>
        <w:rPr>
          <w:rFonts w:hint="eastAsia" w:ascii="黑体" w:hAnsi="黑体" w:eastAsia="黑体" w:cs="Times New Roman"/>
          <w:b/>
          <w:sz w:val="32"/>
          <w:szCs w:val="32"/>
          <w:highlight w:val="none"/>
        </w:rPr>
        <w:t>情况说明</w:t>
      </w:r>
    </w:p>
    <w:p>
      <w:pPr>
        <w:keepNext w:val="0"/>
        <w:keepLines w:val="0"/>
        <w:pageBreakBefore w:val="0"/>
        <w:widowControl w:val="0"/>
        <w:numPr>
          <w:ilvl w:val="0"/>
          <w:numId w:val="0"/>
        </w:numPr>
        <w:wordWrap/>
        <w:topLinePunct w:val="0"/>
        <w:bidi w:val="0"/>
        <w:snapToGrid w:val="0"/>
        <w:spacing w:line="560" w:lineRule="exact"/>
        <w:jc w:val="both"/>
        <w:textAlignment w:val="auto"/>
        <w:rPr>
          <w:rFonts w:hint="eastAsia" w:ascii="黑体" w:hAnsi="黑体" w:eastAsia="黑体" w:cs="Times New Roman"/>
          <w:b/>
          <w:sz w:val="32"/>
          <w:szCs w:val="32"/>
          <w:highlight w:val="none"/>
        </w:rPr>
      </w:pPr>
    </w:p>
    <w:p>
      <w:pPr>
        <w:pStyle w:val="3"/>
        <w:keepNext w:val="0"/>
        <w:keepLines w:val="0"/>
        <w:pageBreakBefore w:val="0"/>
        <w:widowControl w:val="0"/>
        <w:kinsoku w:val="0"/>
        <w:wordWrap/>
        <w:overflowPunct w:val="0"/>
        <w:topLinePunct w:val="0"/>
        <w:bidi w:val="0"/>
        <w:spacing w:before="53" w:line="560" w:lineRule="exact"/>
        <w:ind w:left="747"/>
        <w:textAlignment w:val="auto"/>
        <w:rPr>
          <w:rFonts w:hint="eastAsia" w:ascii="黑体" w:eastAsia="黑体" w:cs="黑体"/>
          <w:highlight w:val="none"/>
        </w:rPr>
      </w:pPr>
      <w:r>
        <w:rPr>
          <w:rFonts w:hint="eastAsia" w:ascii="黑体" w:eastAsia="黑体" w:cs="黑体"/>
          <w:highlight w:val="none"/>
        </w:rPr>
        <w:t>一、202</w:t>
      </w:r>
      <w:r>
        <w:rPr>
          <w:rFonts w:hint="eastAsia" w:ascii="黑体" w:eastAsia="黑体" w:cs="黑体"/>
          <w:highlight w:val="none"/>
          <w:lang w:val="en-US" w:eastAsia="zh-CN"/>
        </w:rPr>
        <w:t>3</w:t>
      </w:r>
      <w:r>
        <w:rPr>
          <w:rFonts w:hint="eastAsia" w:ascii="黑体" w:eastAsia="黑体" w:cs="黑体"/>
          <w:highlight w:val="none"/>
        </w:rPr>
        <w:t>年收支预算总体情况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highlight w:val="none"/>
          <w:lang w:val="en-US"/>
        </w:rPr>
      </w:pPr>
      <w:r>
        <w:rPr>
          <w:rFonts w:hint="eastAsia" w:ascii="仿宋_GB2312" w:hAnsi="仿宋" w:eastAsia="仿宋_GB2312" w:cs="仿宋_GB2312"/>
          <w:sz w:val="32"/>
          <w:szCs w:val="32"/>
          <w:highlight w:val="none"/>
          <w:lang w:val="en-US" w:eastAsia="zh-CN"/>
        </w:rPr>
        <w:t>长春市军队离休退休干部绿园休养所2023年收支总预算569.59万元，其中：当年预算416.59万元，上年结转153万元。支出预算569.59万元，其中：社会保障和就业支出526.18万元；卫生健康支出18.9 万元；住房保障支出24.51万元。2023年比2022年预算增加了336.27万元，增长了1441.3%，主要原因是2023年退役安置补助经费纳入预算。</w:t>
      </w:r>
    </w:p>
    <w:p>
      <w:pPr>
        <w:pStyle w:val="3"/>
        <w:keepNext w:val="0"/>
        <w:keepLines w:val="0"/>
        <w:pageBreakBefore w:val="0"/>
        <w:widowControl w:val="0"/>
        <w:kinsoku w:val="0"/>
        <w:wordWrap/>
        <w:overflowPunct w:val="0"/>
        <w:topLinePunct w:val="0"/>
        <w:bidi w:val="0"/>
        <w:spacing w:before="53" w:line="560" w:lineRule="exact"/>
        <w:ind w:left="747"/>
        <w:textAlignment w:val="auto"/>
        <w:rPr>
          <w:rFonts w:hint="eastAsia" w:ascii="黑体" w:hAnsi="黑体" w:eastAsia="黑体" w:cs="黑体"/>
          <w:highlight w:val="none"/>
        </w:rPr>
      </w:pPr>
      <w:r>
        <w:rPr>
          <w:rFonts w:hint="eastAsia" w:ascii="黑体" w:hAnsi="黑体" w:eastAsia="黑体" w:cs="黑体"/>
          <w:highlight w:val="none"/>
        </w:rPr>
        <w:t>二、202</w:t>
      </w:r>
      <w:r>
        <w:rPr>
          <w:rFonts w:hint="eastAsia" w:ascii="黑体" w:hAnsi="黑体" w:eastAsia="黑体" w:cs="黑体"/>
          <w:highlight w:val="none"/>
          <w:lang w:val="en-US" w:eastAsia="zh-CN"/>
        </w:rPr>
        <w:t>3</w:t>
      </w:r>
      <w:r>
        <w:rPr>
          <w:rFonts w:hint="eastAsia" w:ascii="黑体" w:hAnsi="黑体" w:eastAsia="黑体" w:cs="黑体"/>
          <w:highlight w:val="none"/>
        </w:rPr>
        <w:t>年收入预算情况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长春市军队离休退休干部绿园休养所2023年部门预算收入总金额为569.59万元，其中：一般公共预算416.59万元，73.1%；一般公共预算拨款结转153万元，占26.9%。</w:t>
      </w:r>
    </w:p>
    <w:p>
      <w:pPr>
        <w:pStyle w:val="3"/>
        <w:keepNext w:val="0"/>
        <w:keepLines w:val="0"/>
        <w:pageBreakBefore w:val="0"/>
        <w:widowControl w:val="0"/>
        <w:kinsoku w:val="0"/>
        <w:wordWrap/>
        <w:overflowPunct w:val="0"/>
        <w:topLinePunct w:val="0"/>
        <w:bidi w:val="0"/>
        <w:spacing w:before="53" w:line="560" w:lineRule="exact"/>
        <w:ind w:left="747"/>
        <w:textAlignment w:val="auto"/>
        <w:rPr>
          <w:rFonts w:hint="eastAsia" w:ascii="黑体" w:hAnsi="黑体" w:eastAsia="黑体" w:cs="黑体"/>
          <w:highlight w:val="none"/>
        </w:rPr>
      </w:pPr>
      <w:r>
        <w:rPr>
          <w:rFonts w:hint="eastAsia" w:ascii="黑体" w:hAnsi="黑体" w:eastAsia="黑体" w:cs="黑体"/>
          <w:highlight w:val="none"/>
        </w:rPr>
        <w:t>三、202</w:t>
      </w:r>
      <w:r>
        <w:rPr>
          <w:rFonts w:hint="eastAsia" w:ascii="黑体" w:hAnsi="黑体" w:eastAsia="黑体" w:cs="黑体"/>
          <w:highlight w:val="none"/>
          <w:lang w:val="en-US" w:eastAsia="zh-CN"/>
        </w:rPr>
        <w:t>3</w:t>
      </w:r>
      <w:r>
        <w:rPr>
          <w:rFonts w:hint="eastAsia" w:ascii="黑体" w:hAnsi="黑体" w:eastAsia="黑体" w:cs="黑体"/>
          <w:highlight w:val="none"/>
        </w:rPr>
        <w:t>年支出预算情况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长春市军队离休退休干部绿园休养所2023年支出预算为569.59万元，其中：基本支出265.59万元，占46.6%；项目支出304万元，占53.4%。</w:t>
      </w:r>
    </w:p>
    <w:p>
      <w:pPr>
        <w:pStyle w:val="3"/>
        <w:keepNext w:val="0"/>
        <w:keepLines w:val="0"/>
        <w:pageBreakBefore w:val="0"/>
        <w:widowControl w:val="0"/>
        <w:kinsoku w:val="0"/>
        <w:wordWrap/>
        <w:overflowPunct w:val="0"/>
        <w:topLinePunct w:val="0"/>
        <w:bidi w:val="0"/>
        <w:spacing w:before="53" w:line="560" w:lineRule="exact"/>
        <w:ind w:left="747"/>
        <w:textAlignment w:val="auto"/>
        <w:rPr>
          <w:rFonts w:hint="eastAsia" w:ascii="黑体" w:hAnsi="黑体" w:eastAsia="黑体" w:cs="黑体"/>
          <w:highlight w:val="none"/>
        </w:rPr>
      </w:pPr>
      <w:r>
        <w:rPr>
          <w:rFonts w:hint="eastAsia" w:ascii="黑体" w:hAnsi="黑体" w:eastAsia="黑体" w:cs="黑体"/>
          <w:highlight w:val="none"/>
        </w:rPr>
        <w:t>四、202</w:t>
      </w:r>
      <w:r>
        <w:rPr>
          <w:rFonts w:hint="eastAsia" w:ascii="黑体" w:hAnsi="黑体" w:eastAsia="黑体" w:cs="黑体"/>
          <w:highlight w:val="none"/>
          <w:lang w:val="en-US" w:eastAsia="zh-CN"/>
        </w:rPr>
        <w:t>3</w:t>
      </w:r>
      <w:r>
        <w:rPr>
          <w:rFonts w:hint="eastAsia" w:ascii="黑体" w:hAnsi="黑体" w:eastAsia="黑体" w:cs="黑体"/>
          <w:highlight w:val="none"/>
        </w:rPr>
        <w:t>年财政拨款收支预算情况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highlight w:val="none"/>
        </w:rPr>
      </w:pPr>
      <w:r>
        <w:rPr>
          <w:rFonts w:hint="eastAsia" w:ascii="仿宋_GB2312" w:hAnsi="仿宋" w:eastAsia="仿宋_GB2312" w:cs="仿宋_GB2312"/>
          <w:sz w:val="32"/>
          <w:szCs w:val="32"/>
          <w:highlight w:val="none"/>
          <w:lang w:val="en-US" w:eastAsia="zh-CN"/>
        </w:rPr>
        <w:t>长春市军队离休退休干部绿园休养所2023年财政拨款收支预算为569.59万元，其中：当年预算416.59万元，上年结转153万元。支出预算569.59万元，其中：社会保障和就业支出526.18万元；卫生健康支出18.9万元；住房保障支出24.51万元。2023年比2022年预算增加了336.27万元，增长了1441.3%，主要原因是2023年退役安置补助经费纳入预算。</w:t>
      </w:r>
    </w:p>
    <w:p>
      <w:pPr>
        <w:pStyle w:val="3"/>
        <w:keepNext w:val="0"/>
        <w:keepLines w:val="0"/>
        <w:pageBreakBefore w:val="0"/>
        <w:widowControl w:val="0"/>
        <w:kinsoku w:val="0"/>
        <w:wordWrap/>
        <w:overflowPunct w:val="0"/>
        <w:topLinePunct w:val="0"/>
        <w:bidi w:val="0"/>
        <w:spacing w:before="58" w:line="560" w:lineRule="exact"/>
        <w:ind w:left="747"/>
        <w:textAlignment w:val="auto"/>
        <w:rPr>
          <w:rFonts w:hint="eastAsia" w:ascii="黑体" w:hAnsi="黑体" w:eastAsia="黑体" w:cs="黑体"/>
          <w:highlight w:val="none"/>
        </w:rPr>
      </w:pPr>
      <w:r>
        <w:rPr>
          <w:rFonts w:hint="eastAsia" w:ascii="黑体" w:hAnsi="黑体" w:eastAsia="黑体" w:cs="黑体"/>
          <w:highlight w:val="none"/>
        </w:rPr>
        <w:t>五、202</w:t>
      </w:r>
      <w:r>
        <w:rPr>
          <w:rFonts w:hint="eastAsia" w:ascii="黑体" w:hAnsi="黑体" w:eastAsia="黑体" w:cs="黑体"/>
          <w:highlight w:val="none"/>
          <w:lang w:val="en-US" w:eastAsia="zh-CN"/>
        </w:rPr>
        <w:t>3</w:t>
      </w:r>
      <w:r>
        <w:rPr>
          <w:rFonts w:hint="eastAsia" w:ascii="黑体" w:hAnsi="黑体" w:eastAsia="黑体" w:cs="黑体"/>
          <w:highlight w:val="none"/>
        </w:rPr>
        <w:t>年一般公共预算支出情况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绿园休养所2023年一般公共预算支出569.59万元。用于以下方面支出：社会保障和就业526.18万元，占92.4%，主要用于保障职工工资及军休干部全年医疗保险费用；卫生健康支出18.9万元，占3.3%，主要用于事业单位基本医疗保险缴费支出；住房保障支出24.51万元，占4.3%，主要用于事业单位为职工缴纳的住房公积金支出。</w:t>
      </w:r>
    </w:p>
    <w:p>
      <w:pPr>
        <w:pStyle w:val="3"/>
        <w:keepNext w:val="0"/>
        <w:keepLines w:val="0"/>
        <w:pageBreakBefore w:val="0"/>
        <w:widowControl w:val="0"/>
        <w:kinsoku w:val="0"/>
        <w:wordWrap/>
        <w:overflowPunct w:val="0"/>
        <w:topLinePunct w:val="0"/>
        <w:bidi w:val="0"/>
        <w:spacing w:before="58" w:line="560" w:lineRule="exact"/>
        <w:ind w:left="747"/>
        <w:textAlignment w:val="auto"/>
        <w:rPr>
          <w:rFonts w:hint="eastAsia" w:ascii="黑体" w:hAnsi="黑体" w:eastAsia="黑体" w:cs="黑体"/>
          <w:highlight w:val="none"/>
        </w:rPr>
      </w:pPr>
      <w:r>
        <w:rPr>
          <w:rFonts w:hint="eastAsia" w:ascii="黑体" w:hAnsi="黑体" w:eastAsia="黑体" w:cs="黑体"/>
          <w:highlight w:val="none"/>
        </w:rPr>
        <w:t>六、202</w:t>
      </w:r>
      <w:r>
        <w:rPr>
          <w:rFonts w:hint="eastAsia" w:ascii="黑体" w:hAnsi="黑体" w:eastAsia="黑体" w:cs="黑体"/>
          <w:highlight w:val="none"/>
          <w:lang w:val="en-US" w:eastAsia="zh-CN"/>
        </w:rPr>
        <w:t>3</w:t>
      </w:r>
      <w:r>
        <w:rPr>
          <w:rFonts w:hint="eastAsia" w:ascii="黑体" w:hAnsi="黑体" w:eastAsia="黑体" w:cs="黑体"/>
          <w:highlight w:val="none"/>
        </w:rPr>
        <w:t>年一般公共预算基本支出情况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绿园休养所2023年一般公共预算基本支出265.59万元，基本支出是指为了保障单位机构正常运转、完成日常工作任务而发生的各项支出，包括人员经费和公用经费。其中，人员经费由基本工资、津贴补贴等支出组成；公用经费由办公费、印刷费、水电费等构成。人员经费支出191.23万元，公用经费支出37.05万元。</w:t>
      </w:r>
    </w:p>
    <w:p>
      <w:pPr>
        <w:pStyle w:val="3"/>
        <w:keepNext w:val="0"/>
        <w:keepLines w:val="0"/>
        <w:pageBreakBefore w:val="0"/>
        <w:widowControl w:val="0"/>
        <w:kinsoku w:val="0"/>
        <w:wordWrap/>
        <w:overflowPunct w:val="0"/>
        <w:topLinePunct w:val="0"/>
        <w:bidi w:val="0"/>
        <w:spacing w:before="58" w:line="560" w:lineRule="exact"/>
        <w:ind w:left="747"/>
        <w:textAlignment w:val="auto"/>
        <w:rPr>
          <w:rFonts w:hint="eastAsia" w:ascii="黑体" w:hAnsi="黑体" w:eastAsia="黑体" w:cs="黑体"/>
          <w:highlight w:val="none"/>
        </w:rPr>
      </w:pPr>
      <w:r>
        <w:rPr>
          <w:rFonts w:hint="eastAsia" w:ascii="黑体" w:hAnsi="黑体" w:eastAsia="黑体" w:cs="黑体"/>
          <w:highlight w:val="none"/>
        </w:rPr>
        <w:t>七、202</w:t>
      </w:r>
      <w:r>
        <w:rPr>
          <w:rFonts w:hint="eastAsia" w:ascii="黑体" w:hAnsi="黑体" w:eastAsia="黑体" w:cs="黑体"/>
          <w:highlight w:val="none"/>
          <w:lang w:val="en-US" w:eastAsia="zh-CN"/>
        </w:rPr>
        <w:t>3</w:t>
      </w:r>
      <w:r>
        <w:rPr>
          <w:rFonts w:hint="eastAsia" w:ascii="黑体" w:hAnsi="黑体" w:eastAsia="黑体" w:cs="黑体"/>
          <w:highlight w:val="none"/>
        </w:rPr>
        <w:t>年一般公共预算财政拨款“三公”经费情况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highlight w:val="none"/>
        </w:rPr>
      </w:pPr>
      <w:r>
        <w:rPr>
          <w:rFonts w:hint="eastAsia" w:ascii="仿宋_GB2312" w:hAnsi="仿宋" w:eastAsia="仿宋_GB2312" w:cs="仿宋_GB2312"/>
          <w:sz w:val="32"/>
          <w:szCs w:val="32"/>
          <w:highlight w:val="none"/>
          <w:lang w:val="en-US" w:eastAsia="zh-CN"/>
        </w:rPr>
        <w:t>长春市军队离休退休干部绿园休养所2023年一般公共预算“三公”经费支出6.62万元，其中：当年预算6.62万元，上年结转0万元。2023年预算数比2022年预算减少了0.01万元，主要原因是按要求压减支出。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highlight w:val="none"/>
        </w:rPr>
      </w:pPr>
      <w:r>
        <w:rPr>
          <w:rFonts w:hint="eastAsia" w:ascii="仿宋_GB2312" w:hAnsi="仿宋" w:eastAsia="仿宋_GB2312" w:cs="仿宋_GB2312"/>
          <w:sz w:val="32"/>
          <w:szCs w:val="32"/>
          <w:highlight w:val="none"/>
          <w:lang w:val="en-US" w:eastAsia="zh-CN"/>
        </w:rPr>
        <w:t>因公出国（境）费0万元，其中：当年预算0万元，上年结转0万元，2023预算数与2022年预算数相同；公务接待费0.49万元，其中：当年预算0.62万元，上年结转0万元，2023年预算数比2022年预算减少了0.01万元，主要原因是按要求压减支出。公务用车购置及运行费6万元，其中：当年预算6万元，上年结转0万元，2023预算数与2022年预算数相同。</w:t>
      </w:r>
    </w:p>
    <w:p>
      <w:pPr>
        <w:pStyle w:val="3"/>
        <w:keepNext w:val="0"/>
        <w:keepLines w:val="0"/>
        <w:pageBreakBefore w:val="0"/>
        <w:widowControl w:val="0"/>
        <w:kinsoku w:val="0"/>
        <w:wordWrap/>
        <w:overflowPunct w:val="0"/>
        <w:topLinePunct w:val="0"/>
        <w:bidi w:val="0"/>
        <w:spacing w:before="58" w:line="560" w:lineRule="exact"/>
        <w:ind w:left="747"/>
        <w:textAlignment w:val="auto"/>
        <w:rPr>
          <w:rFonts w:hint="eastAsia" w:ascii="黑体" w:hAnsi="黑体" w:eastAsia="黑体" w:cs="黑体"/>
          <w:highlight w:val="none"/>
        </w:rPr>
      </w:pPr>
      <w:r>
        <w:rPr>
          <w:rFonts w:hint="eastAsia" w:ascii="黑体" w:hAnsi="黑体" w:eastAsia="黑体" w:cs="黑体"/>
          <w:highlight w:val="none"/>
        </w:rPr>
        <w:t>八、202</w:t>
      </w:r>
      <w:r>
        <w:rPr>
          <w:rFonts w:hint="eastAsia" w:ascii="黑体" w:hAnsi="黑体" w:eastAsia="黑体" w:cs="黑体"/>
          <w:highlight w:val="none"/>
          <w:lang w:val="en-US" w:eastAsia="zh-CN"/>
        </w:rPr>
        <w:t>3</w:t>
      </w:r>
      <w:r>
        <w:rPr>
          <w:rFonts w:hint="eastAsia" w:ascii="黑体" w:hAnsi="黑体" w:eastAsia="黑体" w:cs="黑体"/>
          <w:highlight w:val="none"/>
        </w:rPr>
        <w:t>年政府性基金预算支出情况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长春市军队离休退休干部</w:t>
      </w:r>
      <w:r>
        <w:rPr>
          <w:rFonts w:hint="eastAsia" w:ascii="仿宋_GB2312" w:hAnsi="仿宋" w:eastAsia="仿宋_GB2312" w:cs="仿宋_GB2312"/>
          <w:sz w:val="32"/>
          <w:szCs w:val="32"/>
          <w:highlight w:val="none"/>
          <w:lang w:val="en-US" w:eastAsia="zh-CN"/>
        </w:rPr>
        <w:t>绿园休养所</w:t>
      </w:r>
      <w:r>
        <w:rPr>
          <w:rFonts w:hint="eastAsia" w:ascii="仿宋_GB2312" w:hAnsi="仿宋" w:eastAsia="仿宋_GB2312" w:cs="仿宋_GB2312"/>
          <w:kern w:val="2"/>
          <w:sz w:val="32"/>
          <w:szCs w:val="32"/>
          <w:highlight w:val="none"/>
          <w:lang w:val="en-US" w:eastAsia="zh-CN" w:bidi="ar-SA"/>
        </w:rPr>
        <w:t>2023年无政府性基金预算支出。</w:t>
      </w:r>
    </w:p>
    <w:p>
      <w:pPr>
        <w:pStyle w:val="3"/>
        <w:keepNext w:val="0"/>
        <w:keepLines w:val="0"/>
        <w:pageBreakBefore w:val="0"/>
        <w:widowControl w:val="0"/>
        <w:kinsoku w:val="0"/>
        <w:wordWrap/>
        <w:overflowPunct w:val="0"/>
        <w:topLinePunct w:val="0"/>
        <w:bidi w:val="0"/>
        <w:spacing w:before="58" w:line="560" w:lineRule="exact"/>
        <w:ind w:left="747"/>
        <w:textAlignment w:val="auto"/>
        <w:rPr>
          <w:rFonts w:hint="eastAsia" w:ascii="黑体" w:hAnsi="黑体" w:eastAsia="黑体" w:cs="黑体"/>
          <w:highlight w:val="none"/>
        </w:rPr>
      </w:pPr>
      <w:r>
        <w:rPr>
          <w:rFonts w:hint="eastAsia" w:ascii="黑体" w:hAnsi="黑体" w:eastAsia="黑体" w:cs="黑体"/>
          <w:highlight w:val="none"/>
        </w:rPr>
        <w:t>九、202</w:t>
      </w:r>
      <w:r>
        <w:rPr>
          <w:rFonts w:hint="eastAsia" w:ascii="黑体" w:hAnsi="黑体" w:eastAsia="黑体" w:cs="黑体"/>
          <w:highlight w:val="none"/>
          <w:lang w:val="en-US" w:eastAsia="zh-CN"/>
        </w:rPr>
        <w:t>3</w:t>
      </w:r>
      <w:r>
        <w:rPr>
          <w:rFonts w:hint="eastAsia" w:ascii="黑体" w:hAnsi="黑体" w:eastAsia="黑体" w:cs="黑体"/>
          <w:highlight w:val="none"/>
        </w:rPr>
        <w:t>年国有资本经营预算支出情况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长春市军队离休退休干部</w:t>
      </w:r>
      <w:r>
        <w:rPr>
          <w:rFonts w:hint="eastAsia" w:ascii="仿宋_GB2312" w:hAnsi="仿宋" w:eastAsia="仿宋_GB2312" w:cs="仿宋_GB2312"/>
          <w:sz w:val="32"/>
          <w:szCs w:val="32"/>
          <w:highlight w:val="none"/>
          <w:lang w:val="en-US" w:eastAsia="zh-CN"/>
        </w:rPr>
        <w:t>绿园休养所</w:t>
      </w:r>
      <w:r>
        <w:rPr>
          <w:rFonts w:hint="eastAsia" w:ascii="仿宋_GB2312" w:hAnsi="仿宋" w:eastAsia="仿宋_GB2312" w:cs="仿宋_GB2312"/>
          <w:kern w:val="2"/>
          <w:sz w:val="32"/>
          <w:szCs w:val="32"/>
          <w:highlight w:val="none"/>
          <w:lang w:val="en-US" w:eastAsia="zh-CN" w:bidi="ar-SA"/>
        </w:rPr>
        <w:t>2023年无国有资本经营预算支出。</w:t>
      </w:r>
    </w:p>
    <w:p>
      <w:pPr>
        <w:pStyle w:val="3"/>
        <w:keepNext w:val="0"/>
        <w:keepLines w:val="0"/>
        <w:pageBreakBefore w:val="0"/>
        <w:widowControl w:val="0"/>
        <w:kinsoku w:val="0"/>
        <w:wordWrap/>
        <w:overflowPunct w:val="0"/>
        <w:topLinePunct w:val="0"/>
        <w:bidi w:val="0"/>
        <w:spacing w:before="58" w:line="560" w:lineRule="exact"/>
        <w:ind w:left="747"/>
        <w:textAlignment w:val="auto"/>
        <w:rPr>
          <w:rFonts w:hint="eastAsia" w:ascii="黑体" w:hAnsi="黑体" w:eastAsia="黑体" w:cs="黑体"/>
          <w:highlight w:val="none"/>
        </w:rPr>
      </w:pPr>
      <w:r>
        <w:rPr>
          <w:rFonts w:hint="eastAsia" w:ascii="黑体" w:hAnsi="黑体" w:eastAsia="黑体" w:cs="黑体"/>
          <w:highlight w:val="none"/>
          <w:lang w:eastAsia="zh-CN"/>
        </w:rPr>
        <w:t>十</w:t>
      </w:r>
      <w:r>
        <w:rPr>
          <w:rFonts w:hint="eastAsia" w:ascii="黑体" w:hAnsi="黑体" w:eastAsia="黑体" w:cs="黑体"/>
          <w:highlight w:val="none"/>
        </w:rPr>
        <w:t>、202</w:t>
      </w:r>
      <w:r>
        <w:rPr>
          <w:rFonts w:hint="eastAsia" w:ascii="黑体" w:hAnsi="黑体" w:eastAsia="黑体" w:cs="黑体"/>
          <w:highlight w:val="none"/>
          <w:lang w:val="en-US" w:eastAsia="zh-CN"/>
        </w:rPr>
        <w:t>3</w:t>
      </w:r>
      <w:r>
        <w:rPr>
          <w:rFonts w:hint="eastAsia" w:ascii="黑体" w:hAnsi="黑体" w:eastAsia="黑体" w:cs="黑体"/>
          <w:highlight w:val="none"/>
        </w:rPr>
        <w:t>年</w:t>
      </w:r>
      <w:r>
        <w:rPr>
          <w:rFonts w:hint="eastAsia" w:ascii="黑体" w:hAnsi="黑体" w:eastAsia="黑体" w:cs="黑体"/>
          <w:highlight w:val="none"/>
          <w:lang w:eastAsia="zh-CN"/>
        </w:rPr>
        <w:t>项目</w:t>
      </w:r>
      <w:r>
        <w:rPr>
          <w:rFonts w:hint="eastAsia" w:ascii="黑体" w:hAnsi="黑体" w:eastAsia="黑体" w:cs="黑体"/>
          <w:highlight w:val="none"/>
        </w:rPr>
        <w:t>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长春市军队离休退休干部</w:t>
      </w:r>
      <w:r>
        <w:rPr>
          <w:rFonts w:hint="eastAsia" w:ascii="仿宋_GB2312" w:hAnsi="仿宋" w:eastAsia="仿宋_GB2312" w:cs="仿宋_GB2312"/>
          <w:sz w:val="32"/>
          <w:szCs w:val="32"/>
          <w:highlight w:val="none"/>
          <w:lang w:val="en-US" w:eastAsia="zh-CN"/>
        </w:rPr>
        <w:t>绿园休养所</w:t>
      </w:r>
      <w:r>
        <w:rPr>
          <w:rFonts w:hint="eastAsia" w:ascii="仿宋_GB2312" w:hAnsi="仿宋" w:eastAsia="仿宋_GB2312" w:cs="仿宋_GB2312"/>
          <w:kern w:val="2"/>
          <w:sz w:val="32"/>
          <w:szCs w:val="32"/>
          <w:highlight w:val="none"/>
          <w:lang w:val="en-US" w:eastAsia="zh-CN" w:bidi="ar-SA"/>
        </w:rPr>
        <w:t>2023年项目支出预算304万元。</w:t>
      </w:r>
    </w:p>
    <w:p>
      <w:pPr>
        <w:pStyle w:val="3"/>
        <w:kinsoku w:val="0"/>
        <w:overflowPunct w:val="0"/>
        <w:spacing w:before="58"/>
        <w:ind w:left="747"/>
        <w:rPr>
          <w:rFonts w:hint="eastAsia" w:ascii="黑体" w:hAnsi="黑体" w:eastAsia="黑体" w:cs="黑体"/>
          <w:highlight w:val="none"/>
          <w:lang w:val="en-US" w:eastAsia="zh-CN"/>
        </w:rPr>
      </w:pPr>
      <w:r>
        <w:rPr>
          <w:rFonts w:hint="eastAsia" w:ascii="黑体" w:hAnsi="黑体" w:eastAsia="黑体" w:cs="黑体"/>
          <w:highlight w:val="none"/>
          <w:lang w:val="en-US" w:eastAsia="zh-CN"/>
        </w:rPr>
        <w:t>十一、其他重要事项情况说明</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cs="Times New Roman"/>
          <w:sz w:val="32"/>
          <w:szCs w:val="20"/>
          <w:highlight w:val="none"/>
          <w:lang w:eastAsia="zh-CN"/>
        </w:rPr>
      </w:pPr>
      <w:r>
        <w:rPr>
          <w:rFonts w:hint="eastAsia" w:ascii="楷体" w:hAnsi="楷体" w:eastAsia="楷体" w:cs="Times New Roman"/>
          <w:sz w:val="32"/>
          <w:szCs w:val="20"/>
          <w:highlight w:val="none"/>
          <w:lang w:eastAsia="zh-CN"/>
        </w:rPr>
        <w:t>（一）政府采购支出情况说明</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长春市军队离休退休干部</w:t>
      </w:r>
      <w:r>
        <w:rPr>
          <w:rFonts w:hint="eastAsia" w:ascii="仿宋" w:hAnsi="仿宋" w:eastAsia="仿宋"/>
          <w:sz w:val="32"/>
          <w:szCs w:val="32"/>
          <w:highlight w:val="none"/>
          <w:lang w:val="en-US" w:eastAsia="zh-CN"/>
        </w:rPr>
        <w:t>绿园休养所</w:t>
      </w:r>
      <w:r>
        <w:rPr>
          <w:rFonts w:hint="eastAsia" w:ascii="仿宋_GB2312" w:hAnsi="仿宋" w:eastAsia="仿宋_GB2312" w:cs="仿宋_GB2312"/>
          <w:kern w:val="2"/>
          <w:sz w:val="32"/>
          <w:szCs w:val="32"/>
          <w:highlight w:val="none"/>
          <w:lang w:val="en-US" w:eastAsia="zh-CN" w:bidi="ar-SA"/>
        </w:rPr>
        <w:t>2023年无政府采购支出。</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cs="Times New Roman"/>
          <w:sz w:val="32"/>
          <w:szCs w:val="20"/>
          <w:highlight w:val="none"/>
          <w:lang w:eastAsia="zh-CN"/>
        </w:rPr>
      </w:pPr>
      <w:r>
        <w:rPr>
          <w:rFonts w:hint="eastAsia" w:ascii="楷体" w:hAnsi="楷体" w:eastAsia="楷体" w:cs="Times New Roman"/>
          <w:sz w:val="32"/>
          <w:szCs w:val="20"/>
          <w:highlight w:val="none"/>
          <w:lang w:eastAsia="zh-CN"/>
        </w:rPr>
        <w:t>（二）国有资产占用情况说明</w:t>
      </w:r>
    </w:p>
    <w:p>
      <w:pPr>
        <w:pStyle w:val="3"/>
        <w:keepNext w:val="0"/>
        <w:keepLines w:val="0"/>
        <w:pageBreakBefore w:val="0"/>
        <w:widowControl w:val="0"/>
        <w:kinsoku w:val="0"/>
        <w:wordWrap/>
        <w:overflowPunct w:val="0"/>
        <w:topLinePunct w:val="0"/>
        <w:bidi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长春市军队离休退休干部</w:t>
      </w:r>
      <w:r>
        <w:rPr>
          <w:rFonts w:hint="eastAsia" w:ascii="仿宋" w:hAnsi="仿宋" w:eastAsia="仿宋"/>
          <w:sz w:val="32"/>
          <w:szCs w:val="32"/>
          <w:highlight w:val="none"/>
          <w:lang w:val="en-US" w:eastAsia="zh-CN"/>
        </w:rPr>
        <w:t>绿园休养所</w:t>
      </w:r>
      <w:r>
        <w:rPr>
          <w:rFonts w:hint="eastAsia" w:ascii="仿宋_GB2312" w:hAnsi="仿宋" w:eastAsia="仿宋_GB2312" w:cs="仿宋_GB2312"/>
          <w:kern w:val="2"/>
          <w:sz w:val="32"/>
          <w:szCs w:val="32"/>
          <w:highlight w:val="none"/>
          <w:lang w:val="en-US" w:eastAsia="zh-CN" w:bidi="ar-SA"/>
        </w:rPr>
        <w:t>资产总额为263.61万元，具体构成如下：</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1.土地、房屋及建筑物129.16万元；</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default"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2.通用设备116.94</w:t>
      </w:r>
      <w:bookmarkStart w:id="0" w:name="_GoBack"/>
      <w:bookmarkEnd w:id="0"/>
      <w:r>
        <w:rPr>
          <w:rFonts w:hint="eastAsia" w:ascii="仿宋_GB2312" w:hAnsi="仿宋" w:eastAsia="仿宋_GB2312" w:cs="仿宋_GB2312"/>
          <w:kern w:val="2"/>
          <w:sz w:val="32"/>
          <w:szCs w:val="32"/>
          <w:highlight w:val="none"/>
          <w:lang w:val="en-US" w:eastAsia="zh-CN" w:bidi="ar-SA"/>
        </w:rPr>
        <w:t>万元，其中包含车辆2辆，价值48.5万元；</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default"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3.专用设备3.39万元；</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default"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4.家具用具类14.12万元；</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default"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5.无形资产0万元。</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sz w:val="32"/>
          <w:highlight w:val="none"/>
        </w:rPr>
      </w:pPr>
      <w:r>
        <w:rPr>
          <w:rFonts w:hint="eastAsia" w:ascii="楷体" w:hAnsi="楷体" w:eastAsia="楷体"/>
          <w:sz w:val="32"/>
          <w:highlight w:val="none"/>
        </w:rPr>
        <w:t>（</w:t>
      </w:r>
      <w:r>
        <w:rPr>
          <w:rFonts w:hint="eastAsia" w:ascii="楷体" w:hAnsi="楷体" w:eastAsia="楷体"/>
          <w:sz w:val="32"/>
          <w:highlight w:val="none"/>
          <w:lang w:eastAsia="zh-CN"/>
        </w:rPr>
        <w:t>三</w:t>
      </w:r>
      <w:r>
        <w:rPr>
          <w:rFonts w:hint="eastAsia" w:ascii="楷体" w:hAnsi="楷体" w:eastAsia="楷体"/>
          <w:sz w:val="32"/>
          <w:highlight w:val="none"/>
        </w:rPr>
        <w:t>）机关运行经费支出情况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sz w:val="32"/>
          <w:szCs w:val="30"/>
          <w:highlight w:val="none"/>
          <w:lang w:val="en-US" w:eastAsia="zh-CN"/>
        </w:rPr>
      </w:pPr>
      <w:r>
        <w:rPr>
          <w:rFonts w:hint="eastAsia" w:ascii="仿宋_GB2312" w:hAnsi="仿宋" w:eastAsia="仿宋_GB2312" w:cs="仿宋_GB2312"/>
          <w:kern w:val="2"/>
          <w:sz w:val="32"/>
          <w:szCs w:val="32"/>
          <w:highlight w:val="none"/>
          <w:lang w:val="en-US" w:eastAsia="zh-CN" w:bidi="ar-SA"/>
        </w:rPr>
        <w:t>长春市军队离休退休干部</w:t>
      </w:r>
      <w:r>
        <w:rPr>
          <w:rFonts w:hint="eastAsia" w:ascii="仿宋" w:hAnsi="仿宋" w:eastAsia="仿宋"/>
          <w:sz w:val="32"/>
          <w:szCs w:val="32"/>
          <w:highlight w:val="none"/>
          <w:lang w:val="en-US" w:eastAsia="zh-CN"/>
        </w:rPr>
        <w:t>绿园休养所</w:t>
      </w:r>
      <w:r>
        <w:rPr>
          <w:rFonts w:hint="eastAsia" w:ascii="仿宋_GB2312" w:hAnsi="仿宋" w:eastAsia="仿宋_GB2312" w:cs="仿宋_GB2312"/>
          <w:kern w:val="2"/>
          <w:sz w:val="32"/>
          <w:szCs w:val="32"/>
          <w:highlight w:val="none"/>
          <w:lang w:val="en-US" w:eastAsia="zh-CN" w:bidi="ar-SA"/>
        </w:rPr>
        <w:t>2023年</w:t>
      </w:r>
      <w:r>
        <w:rPr>
          <w:rFonts w:hint="eastAsia" w:ascii="仿宋" w:hAnsi="仿宋" w:eastAsia="仿宋" w:cs="仿宋"/>
          <w:sz w:val="32"/>
          <w:highlight w:val="none"/>
        </w:rPr>
        <w:t>机关运行经费支出</w:t>
      </w:r>
      <w:r>
        <w:rPr>
          <w:rFonts w:hint="eastAsia" w:ascii="仿宋" w:hAnsi="仿宋" w:eastAsia="仿宋" w:cs="仿宋"/>
          <w:sz w:val="32"/>
          <w:highlight w:val="none"/>
          <w:lang w:val="en-US" w:eastAsia="zh-CN"/>
        </w:rPr>
        <w:t>0</w:t>
      </w:r>
      <w:r>
        <w:rPr>
          <w:rFonts w:hint="eastAsia" w:ascii="仿宋" w:hAnsi="仿宋" w:eastAsia="仿宋" w:cs="仿宋"/>
          <w:sz w:val="32"/>
          <w:highlight w:val="none"/>
        </w:rPr>
        <w:t>万元</w:t>
      </w:r>
      <w:r>
        <w:rPr>
          <w:rFonts w:hint="eastAsia" w:ascii="仿宋" w:hAnsi="仿宋" w:eastAsia="仿宋" w:cs="仿宋"/>
          <w:sz w:val="32"/>
          <w:highlight w:val="none"/>
          <w:lang w:eastAsia="zh-CN"/>
        </w:rPr>
        <w:t>，</w:t>
      </w:r>
      <w:r>
        <w:rPr>
          <w:rFonts w:hint="eastAsia" w:ascii="仿宋" w:hAnsi="仿宋" w:eastAsia="仿宋" w:cs="仿宋"/>
          <w:kern w:val="0"/>
          <w:sz w:val="32"/>
          <w:szCs w:val="32"/>
          <w:highlight w:val="none"/>
        </w:rPr>
        <w:t>比年初预算数增加</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万元，增长</w:t>
      </w:r>
      <w:r>
        <w:rPr>
          <w:rFonts w:hint="eastAsia" w:ascii="仿宋" w:hAnsi="仿宋" w:eastAsia="仿宋" w:cs="仿宋"/>
          <w:kern w:val="0"/>
          <w:sz w:val="32"/>
          <w:szCs w:val="32"/>
          <w:highlight w:val="none"/>
          <w:lang w:val="en-US" w:eastAsia="zh-CN"/>
        </w:rPr>
        <w:t>0.0</w:t>
      </w:r>
      <w:r>
        <w:rPr>
          <w:rFonts w:hint="eastAsia" w:ascii="仿宋" w:hAnsi="仿宋" w:eastAsia="仿宋" w:cs="仿宋"/>
          <w:kern w:val="0"/>
          <w:sz w:val="32"/>
          <w:szCs w:val="32"/>
          <w:highlight w:val="none"/>
        </w:rPr>
        <w:t>%</w:t>
      </w:r>
      <w:r>
        <w:rPr>
          <w:rFonts w:hint="eastAsia" w:ascii="仿宋" w:hAnsi="仿宋" w:eastAsia="仿宋" w:cs="仿宋"/>
          <w:sz w:val="32"/>
          <w:highlight w:val="none"/>
        </w:rPr>
        <w:t>，主要是</w:t>
      </w:r>
      <w:r>
        <w:rPr>
          <w:rFonts w:hint="eastAsia" w:ascii="仿宋" w:hAnsi="仿宋" w:eastAsia="仿宋" w:cs="仿宋"/>
          <w:sz w:val="32"/>
          <w:szCs w:val="30"/>
          <w:highlight w:val="none"/>
          <w:lang w:val="en-US" w:eastAsia="zh-CN"/>
        </w:rPr>
        <w:t>2023年我单位不涉及此项</w:t>
      </w:r>
      <w:r>
        <w:rPr>
          <w:rFonts w:hint="eastAsia" w:ascii="仿宋" w:hAnsi="仿宋" w:eastAsia="仿宋" w:cs="仿宋"/>
          <w:sz w:val="32"/>
          <w:szCs w:val="30"/>
          <w:highlight w:val="none"/>
        </w:rPr>
        <w:t>。</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p>
    <w:p>
      <w:pPr>
        <w:pStyle w:val="3"/>
        <w:keepNext w:val="0"/>
        <w:keepLines w:val="0"/>
        <w:pageBreakBefore w:val="0"/>
        <w:widowControl w:val="0"/>
        <w:kinsoku w:val="0"/>
        <w:wordWrap/>
        <w:overflowPunct w:val="0"/>
        <w:topLinePunct w:val="0"/>
        <w:bidi w:val="0"/>
        <w:spacing w:before="130" w:line="560" w:lineRule="exact"/>
        <w:ind w:firstLine="640" w:firstLineChars="200"/>
        <w:textAlignment w:val="auto"/>
        <w:rPr>
          <w:rFonts w:hint="eastAsia" w:ascii="仿宋" w:hAnsi="仿宋" w:eastAsia="仿宋"/>
          <w:highlight w:val="none"/>
        </w:rPr>
      </w:pPr>
    </w:p>
    <w:p>
      <w:pPr>
        <w:pStyle w:val="3"/>
        <w:keepNext w:val="0"/>
        <w:keepLines w:val="0"/>
        <w:pageBreakBefore w:val="0"/>
        <w:widowControl w:val="0"/>
        <w:kinsoku w:val="0"/>
        <w:wordWrap/>
        <w:overflowPunct w:val="0"/>
        <w:topLinePunct w:val="0"/>
        <w:bidi w:val="0"/>
        <w:spacing w:before="130" w:line="560" w:lineRule="exact"/>
        <w:ind w:firstLine="640" w:firstLineChars="200"/>
        <w:textAlignment w:val="auto"/>
        <w:rPr>
          <w:rFonts w:hint="eastAsia" w:ascii="仿宋" w:hAnsi="仿宋" w:eastAsia="仿宋"/>
          <w:highlight w:val="none"/>
        </w:rPr>
      </w:pPr>
    </w:p>
    <w:p>
      <w:pPr>
        <w:pStyle w:val="3"/>
        <w:keepNext w:val="0"/>
        <w:keepLines w:val="0"/>
        <w:pageBreakBefore w:val="0"/>
        <w:widowControl w:val="0"/>
        <w:kinsoku w:val="0"/>
        <w:wordWrap/>
        <w:overflowPunct w:val="0"/>
        <w:topLinePunct w:val="0"/>
        <w:bidi w:val="0"/>
        <w:spacing w:before="130" w:line="560" w:lineRule="exact"/>
        <w:ind w:firstLine="640" w:firstLineChars="200"/>
        <w:textAlignment w:val="auto"/>
        <w:rPr>
          <w:rFonts w:hint="eastAsia" w:ascii="仿宋" w:hAnsi="仿宋" w:eastAsia="仿宋"/>
          <w:highlight w:val="none"/>
        </w:rPr>
      </w:pPr>
    </w:p>
    <w:p>
      <w:pPr>
        <w:pStyle w:val="3"/>
        <w:keepNext w:val="0"/>
        <w:keepLines w:val="0"/>
        <w:pageBreakBefore w:val="0"/>
        <w:widowControl w:val="0"/>
        <w:kinsoku w:val="0"/>
        <w:wordWrap/>
        <w:overflowPunct w:val="0"/>
        <w:topLinePunct w:val="0"/>
        <w:bidi w:val="0"/>
        <w:spacing w:before="130" w:line="560" w:lineRule="exact"/>
        <w:ind w:firstLine="640" w:firstLineChars="200"/>
        <w:textAlignment w:val="auto"/>
        <w:rPr>
          <w:rFonts w:hint="eastAsia" w:ascii="仿宋" w:hAnsi="仿宋" w:eastAsia="仿宋"/>
          <w:highlight w:val="none"/>
        </w:rPr>
      </w:pPr>
    </w:p>
    <w:p>
      <w:pPr>
        <w:pStyle w:val="3"/>
        <w:keepNext w:val="0"/>
        <w:keepLines w:val="0"/>
        <w:pageBreakBefore w:val="0"/>
        <w:widowControl w:val="0"/>
        <w:kinsoku w:val="0"/>
        <w:wordWrap/>
        <w:overflowPunct w:val="0"/>
        <w:topLinePunct w:val="0"/>
        <w:bidi w:val="0"/>
        <w:spacing w:before="130" w:line="560" w:lineRule="exact"/>
        <w:ind w:firstLine="640" w:firstLineChars="200"/>
        <w:textAlignment w:val="auto"/>
        <w:rPr>
          <w:rFonts w:hint="eastAsia" w:ascii="仿宋" w:hAnsi="仿宋" w:eastAsia="仿宋"/>
          <w:highlight w:val="none"/>
        </w:rPr>
      </w:pPr>
    </w:p>
    <w:p>
      <w:pPr>
        <w:pStyle w:val="3"/>
        <w:keepNext w:val="0"/>
        <w:keepLines w:val="0"/>
        <w:pageBreakBefore w:val="0"/>
        <w:widowControl w:val="0"/>
        <w:kinsoku w:val="0"/>
        <w:wordWrap/>
        <w:overflowPunct w:val="0"/>
        <w:topLinePunct w:val="0"/>
        <w:bidi w:val="0"/>
        <w:spacing w:before="130" w:line="560" w:lineRule="exact"/>
        <w:ind w:firstLine="640" w:firstLineChars="200"/>
        <w:textAlignment w:val="auto"/>
        <w:rPr>
          <w:rFonts w:hint="eastAsia" w:ascii="仿宋" w:hAnsi="仿宋" w:eastAsia="仿宋"/>
          <w:highlight w:val="none"/>
        </w:rPr>
      </w:pPr>
    </w:p>
    <w:p>
      <w:pPr>
        <w:pStyle w:val="3"/>
        <w:keepNext w:val="0"/>
        <w:keepLines w:val="0"/>
        <w:pageBreakBefore w:val="0"/>
        <w:widowControl w:val="0"/>
        <w:kinsoku w:val="0"/>
        <w:wordWrap/>
        <w:overflowPunct w:val="0"/>
        <w:topLinePunct w:val="0"/>
        <w:bidi w:val="0"/>
        <w:spacing w:line="560" w:lineRule="exact"/>
        <w:jc w:val="both"/>
        <w:textAlignment w:val="auto"/>
        <w:rPr>
          <w:rFonts w:hint="eastAsia" w:ascii="黑体" w:eastAsia="黑体" w:cs="黑体"/>
          <w:b/>
          <w:highlight w:val="none"/>
        </w:rPr>
      </w:pPr>
    </w:p>
    <w:p>
      <w:pPr>
        <w:pStyle w:val="3"/>
        <w:keepNext w:val="0"/>
        <w:keepLines w:val="0"/>
        <w:pageBreakBefore w:val="0"/>
        <w:widowControl w:val="0"/>
        <w:kinsoku w:val="0"/>
        <w:wordWrap/>
        <w:overflowPunct w:val="0"/>
        <w:topLinePunct w:val="0"/>
        <w:bidi w:val="0"/>
        <w:spacing w:line="560" w:lineRule="exact"/>
        <w:jc w:val="center"/>
        <w:textAlignment w:val="auto"/>
        <w:rPr>
          <w:rFonts w:hint="eastAsia" w:ascii="黑体" w:eastAsia="黑体" w:cs="黑体"/>
          <w:b/>
          <w:highlight w:val="none"/>
        </w:rPr>
      </w:pPr>
    </w:p>
    <w:p>
      <w:pPr>
        <w:pStyle w:val="3"/>
        <w:keepNext w:val="0"/>
        <w:keepLines w:val="0"/>
        <w:pageBreakBefore w:val="0"/>
        <w:widowControl w:val="0"/>
        <w:kinsoku w:val="0"/>
        <w:wordWrap/>
        <w:overflowPunct w:val="0"/>
        <w:topLinePunct w:val="0"/>
        <w:bidi w:val="0"/>
        <w:spacing w:line="560" w:lineRule="exact"/>
        <w:jc w:val="center"/>
        <w:textAlignment w:val="auto"/>
        <w:rPr>
          <w:rFonts w:hint="eastAsia" w:ascii="黑体" w:eastAsia="黑体" w:cs="黑体"/>
          <w:b/>
          <w:highlight w:val="none"/>
        </w:rPr>
      </w:pPr>
    </w:p>
    <w:p>
      <w:pPr>
        <w:pStyle w:val="3"/>
        <w:keepNext w:val="0"/>
        <w:keepLines w:val="0"/>
        <w:pageBreakBefore w:val="0"/>
        <w:widowControl w:val="0"/>
        <w:kinsoku w:val="0"/>
        <w:wordWrap/>
        <w:overflowPunct w:val="0"/>
        <w:topLinePunct w:val="0"/>
        <w:bidi w:val="0"/>
        <w:spacing w:line="560" w:lineRule="exact"/>
        <w:jc w:val="center"/>
        <w:textAlignment w:val="auto"/>
        <w:rPr>
          <w:rFonts w:hint="eastAsia" w:ascii="黑体" w:eastAsia="黑体" w:cs="黑体"/>
          <w:b/>
          <w:highlight w:val="none"/>
        </w:rPr>
      </w:pPr>
    </w:p>
    <w:p>
      <w:pPr>
        <w:pStyle w:val="3"/>
        <w:keepNext w:val="0"/>
        <w:keepLines w:val="0"/>
        <w:pageBreakBefore w:val="0"/>
        <w:widowControl w:val="0"/>
        <w:kinsoku w:val="0"/>
        <w:wordWrap/>
        <w:overflowPunct w:val="0"/>
        <w:topLinePunct w:val="0"/>
        <w:bidi w:val="0"/>
        <w:spacing w:line="560" w:lineRule="exact"/>
        <w:jc w:val="center"/>
        <w:textAlignment w:val="auto"/>
        <w:rPr>
          <w:rFonts w:hint="eastAsia" w:ascii="黑体" w:eastAsia="黑体" w:cs="黑体"/>
          <w:b/>
          <w:highlight w:val="none"/>
        </w:rPr>
      </w:pPr>
    </w:p>
    <w:p>
      <w:pPr>
        <w:pStyle w:val="3"/>
        <w:keepNext w:val="0"/>
        <w:keepLines w:val="0"/>
        <w:pageBreakBefore w:val="0"/>
        <w:widowControl w:val="0"/>
        <w:kinsoku w:val="0"/>
        <w:wordWrap/>
        <w:overflowPunct w:val="0"/>
        <w:topLinePunct w:val="0"/>
        <w:bidi w:val="0"/>
        <w:spacing w:line="560" w:lineRule="exact"/>
        <w:jc w:val="center"/>
        <w:textAlignment w:val="auto"/>
        <w:rPr>
          <w:rFonts w:hint="eastAsia" w:ascii="黑体" w:eastAsia="黑体" w:cs="黑体"/>
          <w:b/>
          <w:highlight w:val="none"/>
        </w:rPr>
      </w:pPr>
    </w:p>
    <w:p>
      <w:pPr>
        <w:pStyle w:val="3"/>
        <w:keepNext w:val="0"/>
        <w:keepLines w:val="0"/>
        <w:pageBreakBefore w:val="0"/>
        <w:widowControl w:val="0"/>
        <w:kinsoku w:val="0"/>
        <w:wordWrap/>
        <w:overflowPunct w:val="0"/>
        <w:topLinePunct w:val="0"/>
        <w:bidi w:val="0"/>
        <w:spacing w:line="560" w:lineRule="exact"/>
        <w:jc w:val="center"/>
        <w:textAlignment w:val="auto"/>
        <w:rPr>
          <w:rFonts w:hint="eastAsia" w:ascii="黑体" w:eastAsia="黑体" w:cs="黑体"/>
          <w:b/>
          <w:highlight w:val="none"/>
        </w:rPr>
      </w:pPr>
    </w:p>
    <w:p>
      <w:pPr>
        <w:pStyle w:val="3"/>
        <w:keepNext w:val="0"/>
        <w:keepLines w:val="0"/>
        <w:pageBreakBefore w:val="0"/>
        <w:widowControl w:val="0"/>
        <w:kinsoku w:val="0"/>
        <w:wordWrap/>
        <w:overflowPunct w:val="0"/>
        <w:topLinePunct w:val="0"/>
        <w:bidi w:val="0"/>
        <w:spacing w:line="560" w:lineRule="exact"/>
        <w:jc w:val="center"/>
        <w:textAlignment w:val="auto"/>
        <w:rPr>
          <w:rFonts w:hint="eastAsia" w:ascii="黑体" w:eastAsia="黑体" w:cs="黑体"/>
          <w:b/>
          <w:highlight w:val="none"/>
        </w:rPr>
      </w:pPr>
    </w:p>
    <w:p>
      <w:pPr>
        <w:pStyle w:val="3"/>
        <w:keepNext w:val="0"/>
        <w:keepLines w:val="0"/>
        <w:pageBreakBefore w:val="0"/>
        <w:widowControl w:val="0"/>
        <w:kinsoku w:val="0"/>
        <w:wordWrap/>
        <w:overflowPunct w:val="0"/>
        <w:topLinePunct w:val="0"/>
        <w:bidi w:val="0"/>
        <w:spacing w:line="560" w:lineRule="exact"/>
        <w:jc w:val="center"/>
        <w:textAlignment w:val="auto"/>
        <w:rPr>
          <w:rFonts w:hint="eastAsia" w:ascii="黑体" w:eastAsia="黑体" w:cs="黑体"/>
          <w:b/>
          <w:highlight w:val="none"/>
        </w:rPr>
      </w:pPr>
    </w:p>
    <w:p>
      <w:pPr>
        <w:pStyle w:val="3"/>
        <w:keepNext w:val="0"/>
        <w:keepLines w:val="0"/>
        <w:pageBreakBefore w:val="0"/>
        <w:widowControl w:val="0"/>
        <w:kinsoku w:val="0"/>
        <w:wordWrap/>
        <w:overflowPunct w:val="0"/>
        <w:topLinePunct w:val="0"/>
        <w:bidi w:val="0"/>
        <w:spacing w:line="560" w:lineRule="exact"/>
        <w:jc w:val="center"/>
        <w:textAlignment w:val="auto"/>
        <w:rPr>
          <w:rFonts w:hint="eastAsia" w:ascii="黑体" w:eastAsia="黑体" w:cs="黑体"/>
          <w:b/>
          <w:highlight w:val="none"/>
        </w:rPr>
      </w:pPr>
    </w:p>
    <w:p>
      <w:pPr>
        <w:pStyle w:val="3"/>
        <w:keepNext w:val="0"/>
        <w:keepLines w:val="0"/>
        <w:pageBreakBefore w:val="0"/>
        <w:widowControl w:val="0"/>
        <w:kinsoku w:val="0"/>
        <w:wordWrap/>
        <w:overflowPunct w:val="0"/>
        <w:topLinePunct w:val="0"/>
        <w:bidi w:val="0"/>
        <w:spacing w:line="560" w:lineRule="exact"/>
        <w:jc w:val="center"/>
        <w:textAlignment w:val="auto"/>
        <w:rPr>
          <w:rFonts w:hint="eastAsia" w:ascii="黑体" w:eastAsia="黑体" w:cs="黑体"/>
          <w:b/>
          <w:highlight w:val="none"/>
        </w:rPr>
      </w:pPr>
      <w:r>
        <w:rPr>
          <w:rFonts w:hint="eastAsia" w:ascii="黑体" w:eastAsia="黑体" w:cs="黑体"/>
          <w:b/>
          <w:highlight w:val="none"/>
        </w:rPr>
        <w:t>第四部分</w:t>
      </w:r>
      <w:r>
        <w:rPr>
          <w:rFonts w:ascii="黑体" w:eastAsia="黑体" w:cs="黑体"/>
          <w:b/>
          <w:highlight w:val="none"/>
        </w:rPr>
        <w:t xml:space="preserve"> </w:t>
      </w:r>
      <w:r>
        <w:rPr>
          <w:rFonts w:hint="eastAsia" w:ascii="黑体" w:eastAsia="黑体" w:cs="黑体"/>
          <w:b/>
          <w:highlight w:val="none"/>
        </w:rPr>
        <w:t>名词解释</w:t>
      </w:r>
    </w:p>
    <w:p>
      <w:pPr>
        <w:pStyle w:val="3"/>
        <w:keepNext w:val="0"/>
        <w:keepLines w:val="0"/>
        <w:pageBreakBefore w:val="0"/>
        <w:widowControl w:val="0"/>
        <w:kinsoku w:val="0"/>
        <w:wordWrap/>
        <w:overflowPunct w:val="0"/>
        <w:topLinePunct w:val="0"/>
        <w:bidi w:val="0"/>
        <w:spacing w:line="560" w:lineRule="exact"/>
        <w:jc w:val="center"/>
        <w:textAlignment w:val="auto"/>
        <w:rPr>
          <w:rFonts w:hint="eastAsia" w:ascii="黑体" w:eastAsia="黑体" w:cs="黑体"/>
          <w:highlight w:val="none"/>
        </w:rPr>
      </w:pP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一、财政拨款收入：指财政当年拨付的资金。</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二、基本支出：指为保障机构正常运转、完成日常工作</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任务而发生的人员支出和公用支出。</w:t>
      </w:r>
    </w:p>
    <w:p>
      <w:pPr>
        <w:pStyle w:val="3"/>
        <w:keepNext w:val="0"/>
        <w:keepLines w:val="0"/>
        <w:pageBreakBefore w:val="0"/>
        <w:widowControl w:val="0"/>
        <w:numPr>
          <w:ilvl w:val="0"/>
          <w:numId w:val="4"/>
        </w:numPr>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项目支出：指在基本支出之外为完成特定行政任务</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和事业发展目标所发生的支出。</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四、事业单位医疗（科目代码 2101102）：反映财政部门集中安排的事业单位基本医疗保险缴费经费，未参加医疗保险的事业单位的公费医疗经费，按国家规定享受离休人员待遇的医疗经费。</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五、公务员医疗补助（科目代码 2101103）：反映财政部门集中安排的公务员医疗补助经费。</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六、住房公积金（科目代码 2210201）：反映行政事业单位按人力资源和社会主义保障部、财政部规定的基本工资和津贴补贴以及规定比例为职工缴纳的住房公积金。</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sz w:val="32"/>
          <w:szCs w:val="32"/>
          <w:highlight w:val="none"/>
          <w:lang w:val="en-US" w:eastAsia="zh-CN"/>
        </w:rPr>
      </w:pPr>
      <w:r>
        <w:rPr>
          <w:rFonts w:hint="eastAsia" w:ascii="仿宋_GB2312" w:hAnsi="仿宋" w:eastAsia="仿宋_GB2312" w:cs="仿宋_GB2312"/>
          <w:kern w:val="2"/>
          <w:sz w:val="32"/>
          <w:szCs w:val="32"/>
          <w:highlight w:val="none"/>
          <w:lang w:val="en-US" w:eastAsia="zh-CN" w:bidi="ar-SA"/>
        </w:rPr>
        <w:t>七、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68A6C"/>
    <w:multiLevelType w:val="singleLevel"/>
    <w:tmpl w:val="DAA68A6C"/>
    <w:lvl w:ilvl="0" w:tentative="0">
      <w:start w:val="3"/>
      <w:numFmt w:val="chineseCounting"/>
      <w:suff w:val="space"/>
      <w:lvlText w:val="第%1部分"/>
      <w:lvlJc w:val="left"/>
      <w:rPr>
        <w:rFonts w:hint="eastAsia"/>
      </w:rPr>
    </w:lvl>
  </w:abstractNum>
  <w:abstractNum w:abstractNumId="1">
    <w:nsid w:val="EFDE3809"/>
    <w:multiLevelType w:val="singleLevel"/>
    <w:tmpl w:val="EFDE3809"/>
    <w:lvl w:ilvl="0" w:tentative="0">
      <w:start w:val="3"/>
      <w:numFmt w:val="chineseCounting"/>
      <w:suff w:val="nothing"/>
      <w:lvlText w:val="%1、"/>
      <w:lvlJc w:val="left"/>
      <w:rPr>
        <w:rFonts w:hint="eastAsia"/>
      </w:rPr>
    </w:lvl>
  </w:abstractNum>
  <w:abstractNum w:abstractNumId="2">
    <w:nsid w:val="00000004"/>
    <w:multiLevelType w:val="multilevel"/>
    <w:tmpl w:val="00000004"/>
    <w:lvl w:ilvl="0" w:tentative="0">
      <w:start w:val="1"/>
      <w:numFmt w:val="decimal"/>
      <w:isLgl/>
      <w:suff w:val="space"/>
      <w:lvlText w:val="第%1部分"/>
      <w:lvlJc w:val="center"/>
      <w:pPr>
        <w:ind w:left="425" w:hanging="137"/>
      </w:pPr>
      <w:rPr>
        <w:rFonts w:hint="eastAsia"/>
      </w:rPr>
    </w:lvl>
    <w:lvl w:ilvl="1" w:tentative="0">
      <w:start w:val="1"/>
      <w:numFmt w:val="decimal"/>
      <w:isLgl/>
      <w:suff w:val="space"/>
      <w:lvlText w:val="%1.%2"/>
      <w:lvlJc w:val="left"/>
      <w:pPr>
        <w:ind w:left="567" w:hanging="567"/>
      </w:pPr>
      <w:rPr>
        <w:rFonts w:hint="eastAsia"/>
      </w:rPr>
    </w:lvl>
    <w:lvl w:ilvl="2" w:tentative="0">
      <w:start w:val="1"/>
      <w:numFmt w:val="decimal"/>
      <w:isLgl/>
      <w:lvlText w:val="%1.%2.%3."/>
      <w:lvlJc w:val="left"/>
      <w:pPr>
        <w:tabs>
          <w:tab w:val="left" w:pos="1080"/>
        </w:tabs>
        <w:ind w:left="709" w:hanging="709"/>
      </w:pPr>
      <w:rPr>
        <w:rFonts w:hint="eastAsia"/>
      </w:rPr>
    </w:lvl>
    <w:lvl w:ilvl="3" w:tentative="0">
      <w:start w:val="1"/>
      <w:numFmt w:val="decimal"/>
      <w:isLgl/>
      <w:lvlText w:val="%1.%2.%3.%4."/>
      <w:lvlJc w:val="left"/>
      <w:pPr>
        <w:tabs>
          <w:tab w:val="left" w:pos="1080"/>
        </w:tabs>
        <w:ind w:left="851" w:hanging="851"/>
      </w:pPr>
      <w:rPr>
        <w:rFonts w:hint="eastAsia"/>
      </w:rPr>
    </w:lvl>
    <w:lvl w:ilvl="4" w:tentative="0">
      <w:start w:val="1"/>
      <w:numFmt w:val="decimal"/>
      <w:pStyle w:val="2"/>
      <w:isLgl/>
      <w:lvlText w:val="%1.%2.%3.%4.%5."/>
      <w:lvlJc w:val="left"/>
      <w:pPr>
        <w:tabs>
          <w:tab w:val="left" w:pos="1440"/>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A727C07"/>
    <w:multiLevelType w:val="singleLevel"/>
    <w:tmpl w:val="5A727C07"/>
    <w:lvl w:ilvl="0" w:tentative="0">
      <w:start w:val="2"/>
      <w:numFmt w:val="chineseCounting"/>
      <w:suff w:val="nothing"/>
      <w:lvlText w:val="第%1部"/>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GVkMjEyMTNjMjZjNmQ3NzQ2YTZiNjNhY2NhMmEifQ=="/>
  </w:docVars>
  <w:rsids>
    <w:rsidRoot w:val="00172A27"/>
    <w:rsid w:val="00EF74DF"/>
    <w:rsid w:val="021F6013"/>
    <w:rsid w:val="02AE3F1A"/>
    <w:rsid w:val="03A676AF"/>
    <w:rsid w:val="04693E38"/>
    <w:rsid w:val="055314D6"/>
    <w:rsid w:val="05C67B7E"/>
    <w:rsid w:val="05FD666C"/>
    <w:rsid w:val="0E7D5646"/>
    <w:rsid w:val="121139A1"/>
    <w:rsid w:val="14C52A4A"/>
    <w:rsid w:val="16B014D8"/>
    <w:rsid w:val="1C450915"/>
    <w:rsid w:val="1C4E1616"/>
    <w:rsid w:val="1E28F805"/>
    <w:rsid w:val="23B55B48"/>
    <w:rsid w:val="29B36FF1"/>
    <w:rsid w:val="2A655377"/>
    <w:rsid w:val="2ADB4165"/>
    <w:rsid w:val="2D1041E3"/>
    <w:rsid w:val="2E9E5226"/>
    <w:rsid w:val="2FF63066"/>
    <w:rsid w:val="3581411C"/>
    <w:rsid w:val="36EF79A4"/>
    <w:rsid w:val="38C06F01"/>
    <w:rsid w:val="3B320C69"/>
    <w:rsid w:val="3D7F664A"/>
    <w:rsid w:val="3E0A382D"/>
    <w:rsid w:val="3FDC6FD3"/>
    <w:rsid w:val="42897EB1"/>
    <w:rsid w:val="4332184F"/>
    <w:rsid w:val="443F7D0C"/>
    <w:rsid w:val="44C83A68"/>
    <w:rsid w:val="45DD7344"/>
    <w:rsid w:val="4AE411DA"/>
    <w:rsid w:val="4BDE5BC4"/>
    <w:rsid w:val="51017CDE"/>
    <w:rsid w:val="52A37A23"/>
    <w:rsid w:val="53AE2320"/>
    <w:rsid w:val="58D24C70"/>
    <w:rsid w:val="59062FCE"/>
    <w:rsid w:val="5EF149BB"/>
    <w:rsid w:val="61BF394A"/>
    <w:rsid w:val="621D259F"/>
    <w:rsid w:val="643524E3"/>
    <w:rsid w:val="66EF123F"/>
    <w:rsid w:val="67671AFD"/>
    <w:rsid w:val="67E96A32"/>
    <w:rsid w:val="69807AB1"/>
    <w:rsid w:val="6A0A4DBB"/>
    <w:rsid w:val="6B71546C"/>
    <w:rsid w:val="6D284A9A"/>
    <w:rsid w:val="6DE53850"/>
    <w:rsid w:val="73D2575F"/>
    <w:rsid w:val="76FBFAD1"/>
    <w:rsid w:val="78014877"/>
    <w:rsid w:val="7AFF16FC"/>
    <w:rsid w:val="7B564C97"/>
    <w:rsid w:val="7B9F2E5F"/>
    <w:rsid w:val="7BC95BC3"/>
    <w:rsid w:val="7D3F1EC6"/>
    <w:rsid w:val="7E5C1374"/>
    <w:rsid w:val="7E7D8517"/>
    <w:rsid w:val="7E965270"/>
    <w:rsid w:val="7F3CF7C6"/>
    <w:rsid w:val="BBB31160"/>
    <w:rsid w:val="D7EA3FD7"/>
    <w:rsid w:val="D8DFEEAC"/>
    <w:rsid w:val="DB7FB912"/>
    <w:rsid w:val="DE3B5347"/>
    <w:rsid w:val="E7EF28E6"/>
    <w:rsid w:val="EDFB3EF2"/>
    <w:rsid w:val="F7CD83D8"/>
    <w:rsid w:val="F7F5C661"/>
    <w:rsid w:val="F9BD8F4B"/>
    <w:rsid w:val="FDFE63A3"/>
    <w:rsid w:val="FFD895E5"/>
    <w:rsid w:val="FFFF5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5"/>
    <w:basedOn w:val="1"/>
    <w:next w:val="1"/>
    <w:qFormat/>
    <w:uiPriority w:val="0"/>
    <w:pPr>
      <w:keepNext/>
      <w:keepLines/>
      <w:numPr>
        <w:ilvl w:val="4"/>
        <w:numId w:val="1"/>
      </w:numPr>
      <w:spacing w:beforeLines="0" w:afterLines="0" w:line="560" w:lineRule="exact"/>
      <w:ind w:left="0"/>
      <w:outlineLvl w:val="4"/>
    </w:pPr>
    <w:rPr>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宋体" w:hAnsi="Times New Roman" w:cs="宋体"/>
      <w:kern w:val="0"/>
      <w:sz w:val="32"/>
      <w:szCs w:val="32"/>
    </w:rPr>
  </w:style>
  <w:style w:type="paragraph" w:customStyle="1" w:styleId="6">
    <w:name w:val="Heading 1"/>
    <w:basedOn w:val="1"/>
    <w:qFormat/>
    <w:uiPriority w:val="1"/>
    <w:pPr>
      <w:autoSpaceDE w:val="0"/>
      <w:autoSpaceDN w:val="0"/>
      <w:adjustRightInd w:val="0"/>
      <w:spacing w:line="616" w:lineRule="exact"/>
      <w:ind w:left="2932"/>
      <w:jc w:val="left"/>
      <w:outlineLvl w:val="0"/>
    </w:pPr>
    <w:rPr>
      <w:rFonts w:ascii="Arial Unicode MS" w:hAnsi="Times New Roman" w:eastAsia="Arial Unicode MS" w:cs="Arial Unicode MS"/>
      <w:kern w:val="0"/>
      <w:sz w:val="44"/>
      <w:szCs w:val="44"/>
    </w:rPr>
  </w:style>
  <w:style w:type="character" w:customStyle="1" w:styleId="7">
    <w:name w:val="font31"/>
    <w:basedOn w:val="5"/>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7037</Words>
  <Characters>10027</Characters>
  <Lines>0</Lines>
  <Paragraphs>0</Paragraphs>
  <TotalTime>30</TotalTime>
  <ScaleCrop>false</ScaleCrop>
  <LinksUpToDate>false</LinksUpToDate>
  <CharactersWithSpaces>10406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2022-04-13T09:53:00Z</dcterms:created>
  <dc:creator>Administrator</dc:creator>
  <cp:lastModifiedBy>tyjr</cp:lastModifiedBy>
  <cp:lastPrinted>2023-02-18T23:08:00Z</cp:lastPrinted>
  <dcterms:modified xsi:type="dcterms:W3CDTF">2023-02-17T11:53:39Z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8CB31261B3074EFFABCE2CAEA4CCBADA</vt:lpwstr>
  </property>
</Properties>
</file>